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napToGrid w:val="0"/>
        <w:spacing w:line="480" w:lineRule="exact"/>
        <w:ind w:right="106"/>
        <w:jc w:val="both"/>
        <w:rPr>
          <w:rFonts w:hint="eastAsia" w:ascii="仿宋_GB2312" w:hAnsi="仿宋_GB2312" w:eastAsia="仿宋_GB2312" w:cs="仿宋_GB2312"/>
          <w:color w:val="2D465F"/>
          <w:kern w:val="0"/>
          <w:sz w:val="32"/>
          <w:szCs w:val="32"/>
          <w:lang w:val="en-US" w:eastAsia="zh-CN"/>
        </w:rPr>
      </w:pPr>
      <w:r>
        <w:rPr>
          <w:rFonts w:hint="eastAsia" w:ascii="仿宋_GB2312" w:hAnsi="仿宋_GB2312" w:eastAsia="仿宋_GB2312" w:cs="仿宋_GB2312"/>
          <w:color w:val="2D465F"/>
          <w:kern w:val="0"/>
          <w:sz w:val="32"/>
          <w:szCs w:val="32"/>
          <w:lang w:val="en-US" w:eastAsia="zh-CN"/>
        </w:rPr>
        <w:t>附件2</w:t>
      </w: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事业单位公开招聘违纪违规行为处理规定</w:t>
      </w:r>
    </w:p>
    <w:p>
      <w:pPr>
        <w:jc w:val="center"/>
        <w:rPr>
          <w:rFonts w:hint="eastAsia" w:ascii="仿宋" w:hAnsi="仿宋" w:eastAsia="仿宋" w:cs="仿宋"/>
          <w:bCs/>
          <w:color w:val="2D465F"/>
          <w:kern w:val="0"/>
          <w:sz w:val="32"/>
          <w:szCs w:val="32"/>
          <w:lang w:val="en-US" w:eastAsia="zh-CN"/>
        </w:rPr>
      </w:pPr>
      <w:r>
        <w:rPr>
          <w:rFonts w:hint="eastAsia" w:ascii="仿宋" w:hAnsi="仿宋" w:eastAsia="仿宋" w:cs="仿宋"/>
          <w:sz w:val="32"/>
          <w:szCs w:val="32"/>
          <w:lang w:val="en-US" w:eastAsia="zh-CN"/>
        </w:rPr>
        <w:t>（人社部第35号令）</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 w:hAnsi="楷体" w:eastAsia="楷体" w:cs="楷体"/>
          <w:sz w:val="32"/>
          <w:szCs w:val="32"/>
        </w:rPr>
      </w:pPr>
      <w:r>
        <w:rPr>
          <w:rFonts w:hint="eastAsia" w:ascii="楷体" w:hAnsi="楷体" w:eastAsia="楷体" w:cs="楷体"/>
          <w:sz w:val="32"/>
          <w:szCs w:val="32"/>
        </w:rPr>
        <w:t>第一章 总 则</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第一条 为加强事业单位公开招聘工作管理，规范公开招聘违纪违规行为的认定与处理，保证招聘工作公开、公平、公正，根据《事业单位人事管理条例》等有关规定，制定本规定。</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第二条 事业单位公开招聘中违纪违规行为的认定与处理，适用本规定。</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第三条 认定与处理公开招聘违纪违规行为，应当事实清楚、证据确凿、程序规范、适用规定准确。</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第四条 中央事业单位人事综合管理部门负责全国事业单位公开招聘工作的综合管理与监督。</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32"/>
          <w:szCs w:val="32"/>
        </w:rPr>
      </w:pPr>
      <w:r>
        <w:rPr>
          <w:rFonts w:hint="eastAsia" w:ascii="仿宋" w:hAnsi="仿宋" w:eastAsia="仿宋" w:cs="仿宋"/>
          <w:sz w:val="32"/>
          <w:szCs w:val="32"/>
        </w:rPr>
        <w:t>各级事业单位人事综合管理部门、事业单位主管部门、招聘单位按照事业单位公开招聘管理权限，依据本规定对公开招聘违纪违规行为进行认定与处理。</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 w:hAnsi="楷体" w:eastAsia="楷体" w:cs="楷体"/>
          <w:sz w:val="32"/>
          <w:szCs w:val="32"/>
        </w:rPr>
      </w:pPr>
      <w:r>
        <w:rPr>
          <w:rFonts w:hint="eastAsia" w:ascii="楷体" w:hAnsi="楷体" w:eastAsia="楷体" w:cs="楷体"/>
          <w:sz w:val="32"/>
          <w:szCs w:val="32"/>
        </w:rPr>
        <w:t>第二章 应聘人员违纪违规行为处理</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第五条 应聘人员在报名过程中有下列违纪违规行为之一的，取消其本次应聘资格：</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（一）伪造、涂改证件、证明等报名材料，或者以其他不正当手段获取应聘资格的；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（二）提供的涉及报考资格的申请材料或者信息不实，且影响报名审核结果的；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（三）其他应当取消其本次应聘资格的违纪违规行为。</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第六条 应聘人员在考试过程中有下列违纪违规行为之一的，给予其当次该科目考试成绩无效的处理：</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（一）携带规定以外的物品进入考场且未按要求放在指定位置，经提醒仍不改正的；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（二）未在规定座位参加考试，或者未经考试工作人员允许擅自离开座位或者考场，经提醒仍不改正的；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（三）经提醒仍不按规定填写、填涂本人信息的；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（四）在试卷、答题纸、答题卡规定以外位置标注本人信息或者其他特殊标记的；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（五）在考试开始信号发出前答题，或者在考试结束信号发出后继续答题，经提醒仍不停止的；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（六）将试卷、答题卡、答题纸带出考场，或者故意损坏试卷、答题卡、答题纸及考试相关设施设备的；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（七）其他应当给予当次该科目考试成绩无效处理的违纪违规行为。</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第七条 应聘人员在考试过程中有下列严重违纪违规行为之一的，给予其当次全部科目考试成绩无效的处理，并将其违纪违规行为记入事业单位公开招聘应聘人员诚信档案库，记录期限为五年：</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（一）抄袭、协助他人抄袭的；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（二）互相传递试卷、答题纸、答题卡、草稿纸等的；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（三）持伪造证件参加考试的；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（四）使用禁止带入考场的通讯工具、规定以外的电子用品的；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（五）本人离开考场后，在本场考试结束前，传播考试试题及答案的；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（六）其他应当给予当次全部科目考试成绩无效处理并记入事业单位公开招聘应聘人员诚信档案库的严重违纪违规行为。</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第八条 应聘人员有下列特别严重违纪违规行为之一的，给予其当次全部科目考试成绩无效的处理，并将其违纪违规行为记入事业单位公开招聘应聘人员诚信档案库，长期记录：</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（一）串通作弊或者参与有组织作弊的；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（二）代替他人或者让他人代替自己参加考试的；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（三）其他应当给予当次全部科目考试成绩无效处理并记入事业单位公开招聘应聘人员诚信档案库的特别严重的违纪违规行为。</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第九条 应聘人员应当自觉维护招聘工作秩序，服从工作人员管理，有下列行为之一的，终止其继续参加考试，并责令离开现场；情节严重的，按照本规定第七条、第八条的规定处理；违反《中华人民共和国治安管理处罚法》的，交由公安机关依法处理；构成犯罪的，依法追究刑事责任：</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（一）故意扰乱考点、考场以及其他招聘工作场所秩序的；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（二）拒绝、妨碍工作人员履行管理职责的；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（三）威胁、侮辱、诽谤、诬陷工作人员或者其他应聘人员的；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（四）其他扰乱招聘工作秩序的违纪违规行为。</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第十条 在阅卷过程中发现应聘人员之间同一科目作答内容雷同，并经阅卷专家组确认的，给予其当次该科目考试成绩无效的处理。作答内容雷同的具体认定方法和标准，由中央事业单位人事综合管理部门确定。</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应聘人员之间同一科目作答内容雷同，并有其他相关证据证明其违纪违规行为成立的，视具体情形按照本规定第七条、第八条处理。</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第十一条 应聘人员在体检过程中弄虚作假或者隐瞒影响聘用的疾病、病史的，给予其不予聘用的处理。有请他人顶替体检以及交换、替换化验样本等严重违纪违规行为的，给予其不予聘用的处理，并将其违纪违规行为记入事业单位公开招聘应聘人员诚信档案库，记录期限为五年。</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第十二条 应聘人员在考察过程中提供虚假材料、隐瞒事实真相或者有其他妨碍考察工作的行为，干扰、影响考察单位客观公正作出考察结论的，给予其不予聘用的处理；情节严重、影响恶劣的，将其违纪违规行为记入事业单位公开招聘应聘人员诚信档案库，记录期限为五年。</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第十三条 应聘人员聘用后被查明有本规定所列违纪违规行为的，由招聘单位与其解除聘用合同、予以清退，其中符合第七条、第八条、第十一条、第十二条违纪违规行为的，记入事业单位公开招聘应聘人员诚信档案库。</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第十四条 事业单位公开招聘应聘人员诚信档案库由中央事业单位人事综合管理部门统一建立，纳入全国信用信息共享平台，向招聘单位及社会提供查询，相关记录作为事业单位聘用人员的重要参考，管理办法另行制定。</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 w:hAnsi="楷体" w:eastAsia="楷体" w:cs="楷体"/>
          <w:sz w:val="32"/>
          <w:szCs w:val="32"/>
        </w:rPr>
      </w:pPr>
      <w:r>
        <w:rPr>
          <w:rFonts w:hint="eastAsia" w:ascii="楷体" w:hAnsi="楷体" w:eastAsia="楷体" w:cs="楷体"/>
          <w:sz w:val="32"/>
          <w:szCs w:val="32"/>
        </w:rPr>
        <w:t>第三章 招聘单位和招聘工作人员违纪违规行为处理</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第十五条 招聘单位在公开招聘中有下列行为之一的，事业单位主管部门或者事业单位人事综合管理部门应当责令限期改正；逾期不改正的，对直接负责的主管人员和其他直接责任人员依法给予处分：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（一）未按规定权限和程序核准（备案）招聘方案，擅自组织公开招聘的；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（二）设置与岗位无关的指向性或者限制性条件的；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（三）未按规定发布招聘公告的；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（四）招聘公告发布后，擅自变更招聘程序、岗位条件、招聘人数、考试考察方式等的；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（五）未按招聘条件进行资格审查的；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（六）未按规定组织体检的；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（七）未按规定公示拟聘用人员名单的；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（八）其他应当责令改正的违纪违规行为。</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第十六条 招聘工作人员有下列行为之一的，由相关部门给予处分，并停止其继续参加当年及下一年度招聘工作：</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（一）擅自提前考试开始时间、推迟考试结束时间及缩短考试时间的；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（二）擅自为应聘人员调换考场或者座位的；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（三）未准确记录考场情况及违纪违规行为，并造成一定影响的；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（四）未执行回避制度的；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（五）其他一般违纪违规行为。</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第十七条 招聘工作人员有下列行为之一的，由相关部门给予处分，并将其调离招聘工作岗位，不得再从事招聘工作；构成犯罪的，依法追究刑事责任：</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（一）指使、纵容他人作弊，或者在考试、考察、体检过程中参与作弊的；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（二）在保密期限内，泄露考试试题、面试评分要素等应当保密的信息的；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（三）擅自更改考试评分标准或者不按评分标准进行评卷的；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（四）监管不严，导致考场出现大面积作弊现象的；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（五）玩忽职守，造成不良影响的；</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（六）其他严重违纪违规行为。</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 w:hAnsi="楷体" w:eastAsia="楷体" w:cs="楷体"/>
          <w:sz w:val="32"/>
          <w:szCs w:val="32"/>
        </w:rPr>
      </w:pPr>
      <w:r>
        <w:rPr>
          <w:rFonts w:hint="eastAsia" w:ascii="楷体" w:hAnsi="楷体" w:eastAsia="楷体" w:cs="楷体"/>
          <w:sz w:val="32"/>
          <w:szCs w:val="32"/>
        </w:rPr>
        <w:t>第四章 处理程序</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第十八条 应聘人员的违纪违规行为被当场发现的，招聘工作人员应当予以制止。对于被认定为违纪违规的，要收集、保存相应证据材料，如实记录违纪违规事实和现场处理情况，当场告知应聘人员记录内容，并要求本人签字；对于拒绝签字或者恶意损坏证据材料的，由两名招聘工作人员如实记录其拒签或者恶意损坏证据材料的情况。违纪违规记录经考点负责人签字认定后，报送组织实施公开招聘的部门。</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第十九条 对应聘人员违纪违规行为作出处理决定前，应当告知应聘人员拟作出的处理决定及相关事实、理由和依据，并告知应聘人员依法享有陈述和申辩的权利。作出处理决定的部门对应聘人员提出的事实、理由和证据，应当进行复核。</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对应聘人员违纪违规行为作出处理决定的，应当制作公开招聘违纪违规行为处理决定书，依法送达被处理的应聘人员。</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第二十条 应聘人员对处理决定不服的，可以依法申请行政复议或者提起行政诉讼。</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第二十一条 参与公开招聘的工作人员对因违纪违规行为受到处分不服的，可以依法申请复核或者提出申诉。</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 w:hAnsi="楷体" w:eastAsia="楷体" w:cs="楷体"/>
          <w:sz w:val="32"/>
          <w:szCs w:val="32"/>
        </w:rPr>
      </w:pPr>
      <w:r>
        <w:rPr>
          <w:rFonts w:hint="eastAsia" w:ascii="楷体" w:hAnsi="楷体" w:eastAsia="楷体" w:cs="楷体"/>
          <w:sz w:val="32"/>
          <w:szCs w:val="32"/>
        </w:rPr>
        <w:t>第五章 附 则</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仿宋" w:hAnsi="仿宋" w:eastAsia="仿宋" w:cs="仿宋"/>
          <w:sz w:val="32"/>
          <w:szCs w:val="32"/>
        </w:rPr>
        <w:t>第二十二条 本规定自2018年1月1日起施行。</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left"/>
                            <w:rPr>
                              <w:rFonts w:hint="eastAsia" w:ascii="Calibri" w:hAnsi="Calibri" w:eastAsia="宋体" w:cs="Times New Roman"/>
                              <w:kern w:val="2"/>
                              <w:sz w:val="18"/>
                              <w:szCs w:val="24"/>
                              <w:lang w:val="en-US" w:eastAsia="zh-CN" w:bidi="ar-SA"/>
                            </w:rPr>
                          </w:pPr>
                          <w:r>
                            <w:rPr>
                              <w:rFonts w:hint="eastAsia" w:ascii="Calibri" w:hAnsi="Calibri" w:eastAsia="宋体" w:cs="Times New Roman"/>
                              <w:kern w:val="2"/>
                              <w:sz w:val="18"/>
                              <w:szCs w:val="24"/>
                              <w:lang w:val="en-US" w:eastAsia="zh-CN" w:bidi="ar-SA"/>
                            </w:rPr>
                            <w:t xml:space="preserve">第 </w:t>
                          </w:r>
                          <w:r>
                            <w:rPr>
                              <w:rFonts w:hint="eastAsia" w:ascii="Calibri" w:hAnsi="Calibri" w:eastAsia="宋体" w:cs="Times New Roman"/>
                              <w:kern w:val="2"/>
                              <w:sz w:val="18"/>
                              <w:szCs w:val="24"/>
                              <w:lang w:val="en-US" w:eastAsia="zh-CN" w:bidi="ar-SA"/>
                            </w:rPr>
                            <w:fldChar w:fldCharType="begin"/>
                          </w:r>
                          <w:r>
                            <w:rPr>
                              <w:rFonts w:hint="eastAsia" w:ascii="Calibri" w:hAnsi="Calibri" w:eastAsia="宋体" w:cs="Times New Roman"/>
                              <w:kern w:val="2"/>
                              <w:sz w:val="18"/>
                              <w:szCs w:val="24"/>
                              <w:lang w:val="en-US" w:eastAsia="zh-CN" w:bidi="ar-SA"/>
                            </w:rPr>
                            <w:instrText xml:space="preserve"> PAGE  \* MERGEFORMAT </w:instrText>
                          </w:r>
                          <w:r>
                            <w:rPr>
                              <w:rFonts w:hint="eastAsia" w:ascii="Calibri" w:hAnsi="Calibri" w:eastAsia="宋体" w:cs="Times New Roman"/>
                              <w:kern w:val="2"/>
                              <w:sz w:val="18"/>
                              <w:szCs w:val="24"/>
                              <w:lang w:val="en-US" w:eastAsia="zh-CN" w:bidi="ar-SA"/>
                            </w:rPr>
                            <w:fldChar w:fldCharType="separate"/>
                          </w:r>
                          <w:r>
                            <w:rPr>
                              <w:rFonts w:hint="eastAsia" w:ascii="Calibri" w:hAnsi="Calibri" w:eastAsia="宋体" w:cs="Times New Roman"/>
                              <w:kern w:val="2"/>
                              <w:sz w:val="18"/>
                              <w:szCs w:val="24"/>
                              <w:lang w:val="en-US" w:eastAsia="zh-CN" w:bidi="ar-SA"/>
                            </w:rPr>
                            <w:t>3</w:t>
                          </w:r>
                          <w:r>
                            <w:rPr>
                              <w:rFonts w:hint="eastAsia" w:ascii="Calibri" w:hAnsi="Calibri" w:eastAsia="宋体" w:cs="Times New Roman"/>
                              <w:kern w:val="2"/>
                              <w:sz w:val="18"/>
                              <w:szCs w:val="24"/>
                              <w:lang w:val="en-US" w:eastAsia="zh-CN" w:bidi="ar-SA"/>
                            </w:rPr>
                            <w:fldChar w:fldCharType="end"/>
                          </w:r>
                          <w:r>
                            <w:rPr>
                              <w:rFonts w:hint="eastAsia" w:ascii="Calibri" w:hAnsi="Calibri" w:eastAsia="宋体" w:cs="Times New Roman"/>
                              <w:kern w:val="2"/>
                              <w:sz w:val="18"/>
                              <w:szCs w:val="24"/>
                              <w:lang w:val="en-US" w:eastAsia="zh-CN" w:bidi="ar-SA"/>
                            </w:rPr>
                            <w:t xml:space="preserve"> 页 共 </w:t>
                          </w:r>
                          <w:r>
                            <w:rPr>
                              <w:rFonts w:hint="eastAsia" w:ascii="Calibri" w:hAnsi="Calibri" w:eastAsia="宋体" w:cs="Times New Roman"/>
                              <w:kern w:val="2"/>
                              <w:sz w:val="18"/>
                              <w:szCs w:val="24"/>
                              <w:lang w:val="en-US" w:eastAsia="zh-CN" w:bidi="ar-SA"/>
                            </w:rPr>
                            <w:fldChar w:fldCharType="begin"/>
                          </w:r>
                          <w:r>
                            <w:rPr>
                              <w:rFonts w:hint="eastAsia" w:ascii="Calibri" w:hAnsi="Calibri" w:eastAsia="宋体" w:cs="Times New Roman"/>
                              <w:kern w:val="2"/>
                              <w:sz w:val="18"/>
                              <w:szCs w:val="24"/>
                              <w:lang w:val="en-US" w:eastAsia="zh-CN" w:bidi="ar-SA"/>
                            </w:rPr>
                            <w:instrText xml:space="preserve"> NUMPAGES  \* MERGEFORMAT </w:instrText>
                          </w:r>
                          <w:r>
                            <w:rPr>
                              <w:rFonts w:hint="eastAsia" w:ascii="Calibri" w:hAnsi="Calibri" w:eastAsia="宋体" w:cs="Times New Roman"/>
                              <w:kern w:val="2"/>
                              <w:sz w:val="18"/>
                              <w:szCs w:val="24"/>
                              <w:lang w:val="en-US" w:eastAsia="zh-CN" w:bidi="ar-SA"/>
                            </w:rPr>
                            <w:fldChar w:fldCharType="separate"/>
                          </w:r>
                          <w:r>
                            <w:rPr>
                              <w:rFonts w:hint="eastAsia" w:ascii="Calibri" w:hAnsi="Calibri" w:eastAsia="宋体" w:cs="Times New Roman"/>
                              <w:kern w:val="2"/>
                              <w:sz w:val="18"/>
                              <w:szCs w:val="24"/>
                              <w:lang w:val="en-US" w:eastAsia="zh-CN" w:bidi="ar-SA"/>
                            </w:rPr>
                            <w:t>14</w:t>
                          </w:r>
                          <w:r>
                            <w:rPr>
                              <w:rFonts w:hint="eastAsia" w:ascii="Calibri" w:hAnsi="Calibri" w:eastAsia="宋体" w:cs="Times New Roman"/>
                              <w:kern w:val="2"/>
                              <w:sz w:val="18"/>
                              <w:szCs w:val="24"/>
                              <w:lang w:val="en-US" w:eastAsia="zh-CN" w:bidi="ar-SA"/>
                            </w:rPr>
                            <w:fldChar w:fldCharType="end"/>
                          </w:r>
                          <w:r>
                            <w:rPr>
                              <w:rFonts w:hint="eastAsia" w:ascii="Calibri" w:hAnsi="Calibri" w:eastAsia="宋体" w:cs="Times New Roman"/>
                              <w:kern w:val="2"/>
                              <w:sz w:val="18"/>
                              <w:szCs w:val="24"/>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hint="eastAsia" w:ascii="Calibri" w:hAnsi="Calibri" w:eastAsia="宋体" w:cs="Times New Roman"/>
                        <w:kern w:val="2"/>
                        <w:sz w:val="18"/>
                        <w:szCs w:val="24"/>
                        <w:lang w:val="en-US" w:eastAsia="zh-CN" w:bidi="ar-SA"/>
                      </w:rPr>
                    </w:pPr>
                    <w:r>
                      <w:rPr>
                        <w:rFonts w:hint="eastAsia" w:ascii="Calibri" w:hAnsi="Calibri" w:eastAsia="宋体" w:cs="Times New Roman"/>
                        <w:kern w:val="2"/>
                        <w:sz w:val="18"/>
                        <w:szCs w:val="24"/>
                        <w:lang w:val="en-US" w:eastAsia="zh-CN" w:bidi="ar-SA"/>
                      </w:rPr>
                      <w:t xml:space="preserve">第 </w:t>
                    </w:r>
                    <w:r>
                      <w:rPr>
                        <w:rFonts w:hint="eastAsia" w:ascii="Calibri" w:hAnsi="Calibri" w:eastAsia="宋体" w:cs="Times New Roman"/>
                        <w:kern w:val="2"/>
                        <w:sz w:val="18"/>
                        <w:szCs w:val="24"/>
                        <w:lang w:val="en-US" w:eastAsia="zh-CN" w:bidi="ar-SA"/>
                      </w:rPr>
                      <w:fldChar w:fldCharType="begin"/>
                    </w:r>
                    <w:r>
                      <w:rPr>
                        <w:rFonts w:hint="eastAsia" w:ascii="Calibri" w:hAnsi="Calibri" w:eastAsia="宋体" w:cs="Times New Roman"/>
                        <w:kern w:val="2"/>
                        <w:sz w:val="18"/>
                        <w:szCs w:val="24"/>
                        <w:lang w:val="en-US" w:eastAsia="zh-CN" w:bidi="ar-SA"/>
                      </w:rPr>
                      <w:instrText xml:space="preserve"> PAGE  \* MERGEFORMAT </w:instrText>
                    </w:r>
                    <w:r>
                      <w:rPr>
                        <w:rFonts w:hint="eastAsia" w:ascii="Calibri" w:hAnsi="Calibri" w:eastAsia="宋体" w:cs="Times New Roman"/>
                        <w:kern w:val="2"/>
                        <w:sz w:val="18"/>
                        <w:szCs w:val="24"/>
                        <w:lang w:val="en-US" w:eastAsia="zh-CN" w:bidi="ar-SA"/>
                      </w:rPr>
                      <w:fldChar w:fldCharType="separate"/>
                    </w:r>
                    <w:r>
                      <w:rPr>
                        <w:rFonts w:hint="eastAsia" w:ascii="Calibri" w:hAnsi="Calibri" w:eastAsia="宋体" w:cs="Times New Roman"/>
                        <w:kern w:val="2"/>
                        <w:sz w:val="18"/>
                        <w:szCs w:val="24"/>
                        <w:lang w:val="en-US" w:eastAsia="zh-CN" w:bidi="ar-SA"/>
                      </w:rPr>
                      <w:t>3</w:t>
                    </w:r>
                    <w:r>
                      <w:rPr>
                        <w:rFonts w:hint="eastAsia" w:ascii="Calibri" w:hAnsi="Calibri" w:eastAsia="宋体" w:cs="Times New Roman"/>
                        <w:kern w:val="2"/>
                        <w:sz w:val="18"/>
                        <w:szCs w:val="24"/>
                        <w:lang w:val="en-US" w:eastAsia="zh-CN" w:bidi="ar-SA"/>
                      </w:rPr>
                      <w:fldChar w:fldCharType="end"/>
                    </w:r>
                    <w:r>
                      <w:rPr>
                        <w:rFonts w:hint="eastAsia" w:ascii="Calibri" w:hAnsi="Calibri" w:eastAsia="宋体" w:cs="Times New Roman"/>
                        <w:kern w:val="2"/>
                        <w:sz w:val="18"/>
                        <w:szCs w:val="24"/>
                        <w:lang w:val="en-US" w:eastAsia="zh-CN" w:bidi="ar-SA"/>
                      </w:rPr>
                      <w:t xml:space="preserve"> 页 共 </w:t>
                    </w:r>
                    <w:r>
                      <w:rPr>
                        <w:rFonts w:hint="eastAsia" w:ascii="Calibri" w:hAnsi="Calibri" w:eastAsia="宋体" w:cs="Times New Roman"/>
                        <w:kern w:val="2"/>
                        <w:sz w:val="18"/>
                        <w:szCs w:val="24"/>
                        <w:lang w:val="en-US" w:eastAsia="zh-CN" w:bidi="ar-SA"/>
                      </w:rPr>
                      <w:fldChar w:fldCharType="begin"/>
                    </w:r>
                    <w:r>
                      <w:rPr>
                        <w:rFonts w:hint="eastAsia" w:ascii="Calibri" w:hAnsi="Calibri" w:eastAsia="宋体" w:cs="Times New Roman"/>
                        <w:kern w:val="2"/>
                        <w:sz w:val="18"/>
                        <w:szCs w:val="24"/>
                        <w:lang w:val="en-US" w:eastAsia="zh-CN" w:bidi="ar-SA"/>
                      </w:rPr>
                      <w:instrText xml:space="preserve"> NUMPAGES  \* MERGEFORMAT </w:instrText>
                    </w:r>
                    <w:r>
                      <w:rPr>
                        <w:rFonts w:hint="eastAsia" w:ascii="Calibri" w:hAnsi="Calibri" w:eastAsia="宋体" w:cs="Times New Roman"/>
                        <w:kern w:val="2"/>
                        <w:sz w:val="18"/>
                        <w:szCs w:val="24"/>
                        <w:lang w:val="en-US" w:eastAsia="zh-CN" w:bidi="ar-SA"/>
                      </w:rPr>
                      <w:fldChar w:fldCharType="separate"/>
                    </w:r>
                    <w:r>
                      <w:rPr>
                        <w:rFonts w:hint="eastAsia" w:ascii="Calibri" w:hAnsi="Calibri" w:eastAsia="宋体" w:cs="Times New Roman"/>
                        <w:kern w:val="2"/>
                        <w:sz w:val="18"/>
                        <w:szCs w:val="24"/>
                        <w:lang w:val="en-US" w:eastAsia="zh-CN" w:bidi="ar-SA"/>
                      </w:rPr>
                      <w:t>14</w:t>
                    </w:r>
                    <w:r>
                      <w:rPr>
                        <w:rFonts w:hint="eastAsia" w:ascii="Calibri" w:hAnsi="Calibri" w:eastAsia="宋体" w:cs="Times New Roman"/>
                        <w:kern w:val="2"/>
                        <w:sz w:val="18"/>
                        <w:szCs w:val="24"/>
                        <w:lang w:val="en-US" w:eastAsia="zh-CN" w:bidi="ar-SA"/>
                      </w:rPr>
                      <w:fldChar w:fldCharType="end"/>
                    </w:r>
                    <w:r>
                      <w:rPr>
                        <w:rFonts w:hint="eastAsia" w:ascii="Calibri" w:hAnsi="Calibri" w:eastAsia="宋体" w:cs="Times New Roman"/>
                        <w:kern w:val="2"/>
                        <w:sz w:val="18"/>
                        <w:szCs w:val="24"/>
                        <w:lang w:val="en-US" w:eastAsia="zh-CN" w:bidi="ar-S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Calibri" w:hAnsi="Calibri" w:eastAsia="宋体" w:cs="Times New Roman"/>
        <w:kern w:val="2"/>
        <w:sz w:val="18"/>
        <w:szCs w:val="24"/>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5MmZmMDMxODdjZDY0ODhmMmNiNTI1ZmYyYTQ4MzQifQ=="/>
  </w:docVars>
  <w:rsids>
    <w:rsidRoot w:val="07BB6172"/>
    <w:rsid w:val="07BB6172"/>
    <w:rsid w:val="1E8D53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2023-10-09T05:01:00Z</dcterms:created>
  <dc:creator>庸人自扰</dc:creator>
  <cp:lastModifiedBy>庸人自扰</cp:lastModifiedBy>
  <dcterms:modified xsi:type="dcterms:W3CDTF">2023-10-09T05:03:28Z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8EA550435021420D946EF78A80DA8043_11</vt:lpwstr>
  </property>
</Properties>
</file>