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1AA86">
      <w:pPr>
        <w:spacing w:before="247" w:beforeLines="50" w:line="1000" w:lineRule="exact"/>
        <w:jc w:val="center"/>
        <w:rPr>
          <w:rFonts w:eastAsia="方正小标宋_GBK"/>
          <w:bCs/>
          <w:color w:val="FF0000"/>
          <w:spacing w:val="60"/>
          <w:w w:val="77"/>
          <w:sz w:val="92"/>
          <w:szCs w:val="80"/>
          <w:lang/>
        </w:rPr>
      </w:pPr>
      <w:bookmarkStart w:id="0" w:name="_GoBack"/>
      <w:bookmarkEnd w:id="0"/>
      <w:r>
        <w:rPr>
          <w:rFonts w:eastAsia="方正小标宋_GBK"/>
          <w:bCs/>
          <w:color w:val="FF0000"/>
          <w:spacing w:val="60"/>
          <w:w w:val="77"/>
          <w:sz w:val="92"/>
          <w:szCs w:val="80"/>
          <w:lang/>
        </w:rPr>
        <w:t>湖南省财政厅处室便函</w:t>
      </w:r>
    </w:p>
    <w:p w14:paraId="3FD993C4">
      <w:pPr>
        <w:rPr>
          <w:rFonts w:eastAsia="黑体"/>
          <w:sz w:val="36"/>
          <w:szCs w:val="36"/>
        </w:rPr>
      </w:pPr>
      <w:r>
        <w:rPr>
          <w:lang/>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157480</wp:posOffset>
                </wp:positionV>
                <wp:extent cx="5547360" cy="0"/>
                <wp:effectExtent l="0" t="28575" r="15240" b="28575"/>
                <wp:wrapNone/>
                <wp:docPr id="1" name="直线 2"/>
                <wp:cNvGraphicFramePr/>
                <a:graphic xmlns:a="http://schemas.openxmlformats.org/drawingml/2006/main">
                  <a:graphicData uri="http://schemas.microsoft.com/office/word/2010/wordprocessingShape">
                    <wps:wsp>
                      <wps:cNvSpPr/>
                      <wps:spPr>
                        <a:xfrm>
                          <a:off x="0" y="0"/>
                          <a:ext cx="554736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12.4pt;height:0pt;width:436.8pt;z-index:251659264;mso-width-relative:page;mso-height-relative:page;" filled="f" stroked="t" coordsize="21600,21600" o:gfxdata="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SrIYXS&#10;AAAABgEAAA8AAAAAAAAAAQAgAAAAIgAAAGRycy9kb3ducmV2LnhtbFBLAQIUABQAAAAIAIdO4kA4&#10;vvbh7QEAAOIDAAAOAAAAAAAAAAEAIAAAACEBAABkcnMvZTJvRG9jLnhtbFBLBQYAAAAABgAGAFkB&#10;AACABQAAAAA=&#10;">
                <v:fill on="f" focussize="0,0"/>
                <v:stroke weight="4.5pt" color="#FF0000" linestyle="thickThin" joinstyle="round"/>
                <v:imagedata o:title=""/>
                <o:lock v:ext="edit" aspectratio="f"/>
              </v:line>
            </w:pict>
          </mc:Fallback>
        </mc:AlternateContent>
      </w:r>
    </w:p>
    <w:p w14:paraId="01849A1F">
      <w:pPr>
        <w:spacing w:line="700" w:lineRule="exact"/>
        <w:jc w:val="center"/>
        <w:rPr>
          <w:rFonts w:hint="eastAsia" w:eastAsia="方正小标宋_GBK"/>
          <w:sz w:val="44"/>
          <w:szCs w:val="44"/>
        </w:rPr>
      </w:pPr>
      <w:r>
        <w:rPr>
          <w:rFonts w:eastAsia="方正小标宋_GBK"/>
          <w:sz w:val="44"/>
          <w:szCs w:val="44"/>
        </w:rPr>
        <w:t>关于202</w:t>
      </w:r>
      <w:r>
        <w:rPr>
          <w:rFonts w:hint="eastAsia" w:eastAsia="方正小标宋_GBK"/>
          <w:sz w:val="44"/>
          <w:szCs w:val="44"/>
          <w:lang w:val="en-US" w:eastAsia="zh-CN"/>
        </w:rPr>
        <w:t>5</w:t>
      </w:r>
      <w:r>
        <w:rPr>
          <w:rFonts w:eastAsia="方正小标宋_GBK"/>
          <w:sz w:val="44"/>
          <w:szCs w:val="44"/>
        </w:rPr>
        <w:t>年省级部门预算</w:t>
      </w:r>
      <w:r>
        <w:rPr>
          <w:rFonts w:hint="eastAsia" w:eastAsia="方正小标宋_GBK"/>
          <w:sz w:val="44"/>
          <w:szCs w:val="44"/>
        </w:rPr>
        <w:t>和单位预算</w:t>
      </w:r>
    </w:p>
    <w:p w14:paraId="27564579">
      <w:pPr>
        <w:spacing w:line="700" w:lineRule="exact"/>
        <w:jc w:val="center"/>
        <w:rPr>
          <w:rFonts w:eastAsia="方正小标宋_GBK"/>
          <w:sz w:val="44"/>
          <w:szCs w:val="44"/>
        </w:rPr>
      </w:pPr>
      <w:r>
        <w:rPr>
          <w:rFonts w:hint="eastAsia" w:eastAsia="方正小标宋_GBK"/>
          <w:sz w:val="44"/>
          <w:szCs w:val="44"/>
          <w:lang w:eastAsia="zh-CN"/>
        </w:rPr>
        <w:t>批复和公开有关事项</w:t>
      </w:r>
      <w:r>
        <w:rPr>
          <w:rFonts w:eastAsia="方正小标宋_GBK"/>
          <w:sz w:val="44"/>
          <w:szCs w:val="44"/>
        </w:rPr>
        <w:t>的通知</w:t>
      </w:r>
    </w:p>
    <w:p w14:paraId="73D333BC">
      <w:pPr>
        <w:spacing w:line="700" w:lineRule="exact"/>
        <w:jc w:val="center"/>
        <w:rPr>
          <w:rFonts w:eastAsia="方正小标宋_GBK"/>
          <w:sz w:val="44"/>
          <w:szCs w:val="44"/>
        </w:rPr>
      </w:pPr>
    </w:p>
    <w:p w14:paraId="0D139D2D">
      <w:pPr>
        <w:spacing w:line="620" w:lineRule="exact"/>
        <w:rPr>
          <w:rFonts w:eastAsia="仿宋_GB2312"/>
          <w:sz w:val="32"/>
          <w:szCs w:val="32"/>
        </w:rPr>
      </w:pPr>
      <w:r>
        <w:rPr>
          <w:rFonts w:eastAsia="仿宋_GB2312"/>
          <w:sz w:val="32"/>
          <w:szCs w:val="32"/>
        </w:rPr>
        <w:t>各部门预算处：</w:t>
      </w:r>
    </w:p>
    <w:p w14:paraId="54A3E6EC">
      <w:pPr>
        <w:spacing w:line="620" w:lineRule="exact"/>
        <w:ind w:firstLine="624" w:firstLineChars="196"/>
        <w:rPr>
          <w:rFonts w:eastAsia="仿宋_GB2312"/>
          <w:sz w:val="32"/>
          <w:szCs w:val="32"/>
        </w:rPr>
      </w:pPr>
      <w:r>
        <w:rPr>
          <w:rFonts w:eastAsia="仿宋_GB2312"/>
          <w:sz w:val="32"/>
          <w:szCs w:val="32"/>
        </w:rPr>
        <w:t>202</w:t>
      </w:r>
      <w:r>
        <w:rPr>
          <w:rFonts w:hint="eastAsia" w:eastAsia="仿宋_GB2312"/>
          <w:sz w:val="32"/>
          <w:szCs w:val="32"/>
          <w:lang w:val="en-US" w:eastAsia="zh-CN"/>
        </w:rPr>
        <w:t>5</w:t>
      </w:r>
      <w:r>
        <w:rPr>
          <w:rFonts w:eastAsia="仿宋_GB2312"/>
          <w:sz w:val="32"/>
          <w:szCs w:val="32"/>
        </w:rPr>
        <w:t>年省级预算已经省十</w:t>
      </w:r>
      <w:r>
        <w:rPr>
          <w:rFonts w:hint="eastAsia" w:eastAsia="仿宋_GB2312"/>
          <w:sz w:val="32"/>
          <w:szCs w:val="32"/>
          <w:lang w:eastAsia="zh-CN"/>
        </w:rPr>
        <w:t>四</w:t>
      </w:r>
      <w:r>
        <w:rPr>
          <w:rFonts w:eastAsia="仿宋_GB2312"/>
          <w:sz w:val="32"/>
          <w:szCs w:val="32"/>
        </w:rPr>
        <w:t>届人大</w:t>
      </w:r>
      <w:r>
        <w:rPr>
          <w:rFonts w:hint="eastAsia" w:eastAsia="仿宋_GB2312"/>
          <w:sz w:val="32"/>
          <w:szCs w:val="32"/>
          <w:lang w:eastAsia="zh-CN"/>
        </w:rPr>
        <w:t>三</w:t>
      </w:r>
      <w:r>
        <w:rPr>
          <w:rFonts w:eastAsia="仿宋_GB2312"/>
          <w:sz w:val="32"/>
          <w:szCs w:val="32"/>
        </w:rPr>
        <w:t>次会议审查通过，现就部门预算批复</w:t>
      </w:r>
      <w:r>
        <w:rPr>
          <w:rFonts w:hint="eastAsia" w:eastAsia="仿宋_GB2312"/>
          <w:sz w:val="32"/>
          <w:szCs w:val="32"/>
          <w:lang w:eastAsia="zh-CN"/>
        </w:rPr>
        <w:t>和公开</w:t>
      </w:r>
      <w:r>
        <w:rPr>
          <w:rFonts w:eastAsia="仿宋_GB2312"/>
          <w:sz w:val="32"/>
          <w:szCs w:val="32"/>
        </w:rPr>
        <w:t>有关事项通知如下：</w:t>
      </w:r>
    </w:p>
    <w:p w14:paraId="52DECB9F">
      <w:pPr>
        <w:spacing w:line="620" w:lineRule="exact"/>
        <w:ind w:firstLine="634"/>
        <w:rPr>
          <w:rFonts w:eastAsia="黑体"/>
          <w:sz w:val="32"/>
          <w:szCs w:val="32"/>
        </w:rPr>
      </w:pPr>
      <w:r>
        <w:rPr>
          <w:rFonts w:eastAsia="黑体"/>
          <w:sz w:val="32"/>
          <w:szCs w:val="32"/>
        </w:rPr>
        <w:t>一、在法定时限内完成预算批复</w:t>
      </w:r>
    </w:p>
    <w:p w14:paraId="348B8CBB">
      <w:pPr>
        <w:pStyle w:val="2"/>
        <w:spacing w:line="600" w:lineRule="exact"/>
        <w:rPr>
          <w:sz w:val="32"/>
          <w:szCs w:val="32"/>
        </w:rPr>
      </w:pPr>
      <w:r>
        <w:rPr>
          <w:sz w:val="32"/>
          <w:szCs w:val="32"/>
        </w:rPr>
        <w:t>按照预算法</w:t>
      </w:r>
      <w:r>
        <w:rPr>
          <w:rFonts w:hint="eastAsia"/>
          <w:sz w:val="32"/>
          <w:szCs w:val="32"/>
        </w:rPr>
        <w:t>及其实施条例</w:t>
      </w:r>
      <w:r>
        <w:rPr>
          <w:sz w:val="32"/>
          <w:szCs w:val="32"/>
        </w:rPr>
        <w:t>规定，各级预算经本级人民代表大会批准后，财政部门应当在</w:t>
      </w:r>
      <w:r>
        <w:rPr>
          <w:b/>
          <w:sz w:val="32"/>
          <w:szCs w:val="32"/>
        </w:rPr>
        <w:t>20日</w:t>
      </w:r>
      <w:r>
        <w:rPr>
          <w:sz w:val="32"/>
          <w:szCs w:val="32"/>
        </w:rPr>
        <w:t>内向本级各部门批复预算；各部门在接到财政部门批复的本部门预算后，应于</w:t>
      </w:r>
      <w:r>
        <w:rPr>
          <w:b/>
          <w:sz w:val="32"/>
          <w:szCs w:val="32"/>
        </w:rPr>
        <w:t>15日</w:t>
      </w:r>
      <w:r>
        <w:rPr>
          <w:sz w:val="32"/>
          <w:szCs w:val="32"/>
        </w:rPr>
        <w:t>内向所属单位批复预算。1月</w:t>
      </w:r>
      <w:r>
        <w:rPr>
          <w:rFonts w:hint="eastAsia"/>
          <w:sz w:val="32"/>
          <w:szCs w:val="32"/>
          <w:lang w:val="en-US" w:eastAsia="zh-CN"/>
        </w:rPr>
        <w:t>18</w:t>
      </w:r>
      <w:r>
        <w:rPr>
          <w:sz w:val="32"/>
          <w:szCs w:val="32"/>
        </w:rPr>
        <w:t>日，全省人民代表大会已审查批准了</w:t>
      </w:r>
      <w:r>
        <w:rPr>
          <w:rFonts w:hint="eastAsia"/>
          <w:sz w:val="32"/>
          <w:szCs w:val="32"/>
          <w:lang w:eastAsia="zh-CN"/>
        </w:rPr>
        <w:t>2025年</w:t>
      </w:r>
      <w:r>
        <w:rPr>
          <w:rFonts w:hint="eastAsia"/>
          <w:sz w:val="32"/>
          <w:szCs w:val="32"/>
        </w:rPr>
        <w:t>省级</w:t>
      </w:r>
      <w:r>
        <w:rPr>
          <w:sz w:val="32"/>
          <w:szCs w:val="32"/>
        </w:rPr>
        <w:t>预算，按照规定，部门预算应于</w:t>
      </w:r>
      <w:r>
        <w:rPr>
          <w:b/>
          <w:bCs/>
          <w:sz w:val="32"/>
          <w:szCs w:val="32"/>
        </w:rPr>
        <w:t>2月</w:t>
      </w:r>
      <w:r>
        <w:rPr>
          <w:rFonts w:hint="eastAsia"/>
          <w:b/>
          <w:bCs/>
          <w:sz w:val="32"/>
          <w:szCs w:val="32"/>
          <w:lang w:val="en-US" w:eastAsia="zh-CN"/>
        </w:rPr>
        <w:t>7</w:t>
      </w:r>
      <w:r>
        <w:rPr>
          <w:b/>
          <w:bCs/>
          <w:sz w:val="32"/>
          <w:szCs w:val="32"/>
        </w:rPr>
        <w:t>日</w:t>
      </w:r>
      <w:r>
        <w:rPr>
          <w:rFonts w:hint="eastAsia"/>
          <w:b/>
          <w:bCs/>
          <w:sz w:val="32"/>
          <w:szCs w:val="32"/>
          <w:lang w:eastAsia="zh-CN"/>
        </w:rPr>
        <w:t>（初十）</w:t>
      </w:r>
      <w:r>
        <w:rPr>
          <w:sz w:val="32"/>
          <w:szCs w:val="32"/>
        </w:rPr>
        <w:t>前批复到位。</w:t>
      </w:r>
      <w:r>
        <w:rPr>
          <w:rFonts w:hint="eastAsia"/>
          <w:sz w:val="32"/>
          <w:szCs w:val="32"/>
        </w:rPr>
        <w:t>请各部门预算处按期</w:t>
      </w:r>
      <w:r>
        <w:rPr>
          <w:sz w:val="32"/>
          <w:szCs w:val="32"/>
        </w:rPr>
        <w:t>完成部门预算批复工作，并督促省直部门</w:t>
      </w:r>
      <w:r>
        <w:rPr>
          <w:rFonts w:hint="eastAsia"/>
          <w:sz w:val="32"/>
          <w:szCs w:val="32"/>
        </w:rPr>
        <w:t>在</w:t>
      </w:r>
      <w:r>
        <w:rPr>
          <w:sz w:val="32"/>
          <w:szCs w:val="32"/>
        </w:rPr>
        <w:t>接到批复后15日内完成单位预算批复。</w:t>
      </w:r>
    </w:p>
    <w:p w14:paraId="08FAA3D1">
      <w:pPr>
        <w:pStyle w:val="2"/>
        <w:spacing w:line="600" w:lineRule="exact"/>
        <w:rPr>
          <w:rFonts w:hint="eastAsia"/>
          <w:sz w:val="32"/>
          <w:szCs w:val="32"/>
        </w:rPr>
      </w:pPr>
      <w:r>
        <w:rPr>
          <w:rFonts w:hint="eastAsia"/>
          <w:sz w:val="32"/>
          <w:szCs w:val="32"/>
        </w:rPr>
        <w:t>为简化工作量，我处制定了批复文件模板（见附件1），</w:t>
      </w:r>
      <w:r>
        <w:rPr>
          <w:sz w:val="32"/>
          <w:szCs w:val="32"/>
        </w:rPr>
        <w:t>请各部门预算处拟定批复文件（</w:t>
      </w:r>
      <w:r>
        <w:rPr>
          <w:rFonts w:hint="eastAsia"/>
          <w:sz w:val="32"/>
          <w:szCs w:val="32"/>
        </w:rPr>
        <w:t>也可根据需要在此基础上增加具体要求和说明</w:t>
      </w:r>
      <w:r>
        <w:rPr>
          <w:sz w:val="32"/>
          <w:szCs w:val="32"/>
        </w:rPr>
        <w:t>），</w:t>
      </w:r>
      <w:r>
        <w:rPr>
          <w:rFonts w:hint="eastAsia"/>
          <w:sz w:val="32"/>
          <w:szCs w:val="32"/>
        </w:rPr>
        <w:t>并从</w:t>
      </w:r>
      <w:r>
        <w:rPr>
          <w:rFonts w:hint="eastAsia"/>
          <w:sz w:val="32"/>
          <w:szCs w:val="32"/>
          <w:lang w:eastAsia="zh-CN"/>
        </w:rPr>
        <w:t>预算管理一体化</w:t>
      </w:r>
      <w:r>
        <w:rPr>
          <w:rFonts w:hint="eastAsia"/>
          <w:sz w:val="32"/>
          <w:szCs w:val="32"/>
        </w:rPr>
        <w:t>系统</w:t>
      </w:r>
      <w:r>
        <w:rPr>
          <w:sz w:val="32"/>
          <w:szCs w:val="32"/>
        </w:rPr>
        <w:t>中导出</w:t>
      </w:r>
      <w:r>
        <w:rPr>
          <w:rFonts w:hint="eastAsia"/>
          <w:sz w:val="32"/>
          <w:szCs w:val="32"/>
        </w:rPr>
        <w:t>预算批复表，</w:t>
      </w:r>
      <w:r>
        <w:rPr>
          <w:rFonts w:hint="default" w:ascii="Times New Roman" w:hAnsi="Times New Roman" w:eastAsia="仿宋_GB2312" w:cs="Times New Roman"/>
          <w:sz w:val="32"/>
          <w:szCs w:val="32"/>
          <w:lang w:eastAsia="zh-CN"/>
        </w:rPr>
        <w:t>会签</w:t>
      </w:r>
      <w:r>
        <w:rPr>
          <w:rFonts w:hint="default" w:ascii="Times New Roman" w:hAnsi="Times New Roman" w:eastAsia="仿宋_GB2312" w:cs="Times New Roman"/>
          <w:sz w:val="32"/>
          <w:szCs w:val="32"/>
        </w:rPr>
        <w:t>预算处</w:t>
      </w:r>
      <w:r>
        <w:rPr>
          <w:sz w:val="32"/>
          <w:szCs w:val="32"/>
        </w:rPr>
        <w:t>后报厅领导审签，批复文号统一为“湘财预〔202</w:t>
      </w:r>
      <w:r>
        <w:rPr>
          <w:rFonts w:hint="eastAsia"/>
          <w:sz w:val="32"/>
          <w:szCs w:val="32"/>
          <w:lang w:val="en-US" w:eastAsia="zh-CN"/>
        </w:rPr>
        <w:t>5</w:t>
      </w:r>
      <w:r>
        <w:rPr>
          <w:sz w:val="32"/>
          <w:szCs w:val="32"/>
        </w:rPr>
        <w:t>〕××××号”</w:t>
      </w:r>
      <w:r>
        <w:rPr>
          <w:rFonts w:hint="eastAsia"/>
          <w:sz w:val="32"/>
          <w:szCs w:val="32"/>
        </w:rPr>
        <w:t>。</w:t>
      </w:r>
      <w:r>
        <w:rPr>
          <w:rFonts w:hint="eastAsia"/>
          <w:sz w:val="32"/>
          <w:szCs w:val="32"/>
          <w:lang w:eastAsia="zh-CN"/>
        </w:rPr>
        <w:t>建议除</w:t>
      </w:r>
      <w:r>
        <w:rPr>
          <w:rFonts w:hint="eastAsia"/>
          <w:sz w:val="32"/>
          <w:szCs w:val="32"/>
        </w:rPr>
        <w:t>涉及保密事项的部门需单独发文</w:t>
      </w:r>
      <w:r>
        <w:rPr>
          <w:rFonts w:hint="eastAsia"/>
          <w:sz w:val="32"/>
          <w:szCs w:val="32"/>
          <w:lang w:eastAsia="zh-CN"/>
        </w:rPr>
        <w:t>外，</w:t>
      </w:r>
      <w:r>
        <w:rPr>
          <w:rFonts w:hint="eastAsia"/>
          <w:sz w:val="32"/>
          <w:szCs w:val="32"/>
        </w:rPr>
        <w:t>一个处室只行一个批复文件（附件分部门发）。</w:t>
      </w:r>
    </w:p>
    <w:p w14:paraId="260AC46B">
      <w:pPr>
        <w:pStyle w:val="2"/>
        <w:spacing w:line="600" w:lineRule="exact"/>
        <w:rPr>
          <w:sz w:val="32"/>
          <w:szCs w:val="32"/>
        </w:rPr>
      </w:pPr>
      <w:r>
        <w:rPr>
          <w:rFonts w:hint="eastAsia"/>
          <w:sz w:val="32"/>
          <w:szCs w:val="32"/>
        </w:rPr>
        <w:t>需要说明的是，部门预算系统导出的报表仅为基础表样，</w:t>
      </w:r>
      <w:r>
        <w:rPr>
          <w:rFonts w:hint="eastAsia"/>
          <w:sz w:val="32"/>
          <w:szCs w:val="32"/>
          <w:lang w:eastAsia="zh-CN"/>
        </w:rPr>
        <w:t>各部门预算处要组织对口联系的省直</w:t>
      </w:r>
      <w:r>
        <w:rPr>
          <w:rFonts w:hint="eastAsia"/>
          <w:sz w:val="32"/>
          <w:szCs w:val="32"/>
        </w:rPr>
        <w:t>部门认真</w:t>
      </w:r>
      <w:r>
        <w:rPr>
          <w:rFonts w:hint="eastAsia"/>
          <w:sz w:val="32"/>
          <w:szCs w:val="32"/>
          <w:lang w:eastAsia="zh-CN"/>
        </w:rPr>
        <w:t>核对</w:t>
      </w:r>
      <w:r>
        <w:rPr>
          <w:rFonts w:hint="eastAsia"/>
          <w:sz w:val="32"/>
          <w:szCs w:val="32"/>
        </w:rPr>
        <w:t>、补充完善，如“部门预算批复情况表”应对经费拨款年度增减变化作出说明</w:t>
      </w:r>
      <w:r>
        <w:rPr>
          <w:rFonts w:hint="eastAsia"/>
          <w:sz w:val="32"/>
          <w:szCs w:val="32"/>
          <w:lang w:eastAsia="zh-CN"/>
        </w:rPr>
        <w:t>、“省级专项资金清单”中财政代编预算额度应与处室代编预算签呈保持一致等</w:t>
      </w:r>
      <w:r>
        <w:rPr>
          <w:rFonts w:hint="eastAsia"/>
          <w:sz w:val="32"/>
          <w:szCs w:val="32"/>
        </w:rPr>
        <w:t>，确保批复内容完整、准确。</w:t>
      </w:r>
    </w:p>
    <w:p w14:paraId="6FC1B5A2">
      <w:pPr>
        <w:pStyle w:val="2"/>
        <w:spacing w:line="620" w:lineRule="exact"/>
        <w:rPr>
          <w:rFonts w:eastAsia="黑体"/>
          <w:sz w:val="32"/>
          <w:szCs w:val="32"/>
        </w:rPr>
      </w:pPr>
      <w:r>
        <w:rPr>
          <w:rFonts w:eastAsia="黑体"/>
          <w:sz w:val="32"/>
          <w:szCs w:val="32"/>
        </w:rPr>
        <w:t>二、</w:t>
      </w:r>
      <w:r>
        <w:rPr>
          <w:rFonts w:hint="eastAsia" w:eastAsia="黑体"/>
          <w:sz w:val="32"/>
          <w:szCs w:val="32"/>
        </w:rPr>
        <w:t>按期公开部门预算</w:t>
      </w:r>
    </w:p>
    <w:p w14:paraId="1F8EE68A">
      <w:pPr>
        <w:spacing w:line="600" w:lineRule="exact"/>
        <w:ind w:firstLine="636" w:firstLineChars="200"/>
        <w:rPr>
          <w:rFonts w:hint="eastAsia" w:eastAsia="仿宋_GB2312"/>
          <w:sz w:val="32"/>
          <w:szCs w:val="32"/>
          <w:lang w:eastAsia="zh-CN"/>
        </w:rPr>
      </w:pPr>
      <w:r>
        <w:rPr>
          <w:rFonts w:hint="eastAsia" w:ascii="Times New Roman" w:hAnsi="Times New Roman" w:eastAsia="仿宋_GB2312" w:cs="Times New Roman"/>
          <w:kern w:val="2"/>
          <w:sz w:val="32"/>
          <w:szCs w:val="32"/>
          <w:lang w:val="en-US" w:eastAsia="zh-CN" w:bidi="ar-SA"/>
        </w:rPr>
        <w:t>按照预算法及其实施条例规定，经财政部门批复的部门预算</w:t>
      </w:r>
      <w:r>
        <w:rPr>
          <w:rFonts w:hint="eastAsia" w:ascii="Times New Roman" w:hAnsi="Times New Roman" w:eastAsia="仿宋_GB2312" w:cs="Times New Roman"/>
          <w:kern w:val="2"/>
          <w:sz w:val="32"/>
          <w:szCs w:val="32"/>
          <w:highlight w:val="yellow"/>
          <w:lang w:val="en-US" w:eastAsia="zh-CN" w:bidi="ar-SA"/>
        </w:rPr>
        <w:t>应在批复后20日内由部门向社会公开</w:t>
      </w:r>
      <w:r>
        <w:rPr>
          <w:rFonts w:hint="eastAsia" w:ascii="Times New Roman" w:hAnsi="Times New Roman" w:eastAsia="仿宋_GB2312" w:cs="Times New Roman"/>
          <w:kern w:val="2"/>
          <w:sz w:val="32"/>
          <w:szCs w:val="32"/>
          <w:lang w:val="en-US" w:eastAsia="zh-CN" w:bidi="ar-SA"/>
        </w:rPr>
        <w:t>，各部门所属单位的预算应当在部门批复后20日内由单位向社会公开。为确保公开工作推进平稳有序，请各部门预算处连同对口联系的省直部门重点抓好以下三项工作。</w:t>
      </w:r>
      <w:r>
        <w:rPr>
          <w:rFonts w:hint="eastAsia" w:ascii="Times New Roman" w:hAnsi="Times New Roman" w:eastAsia="仿宋_GB2312" w:cs="Times New Roman"/>
          <w:b/>
          <w:bCs/>
          <w:kern w:val="2"/>
          <w:sz w:val="32"/>
          <w:szCs w:val="32"/>
          <w:lang w:val="en-US" w:eastAsia="zh-CN" w:bidi="ar-SA"/>
        </w:rPr>
        <w:t>一是统一公开形式。</w:t>
      </w:r>
      <w:r>
        <w:rPr>
          <w:rFonts w:hint="eastAsia" w:ascii="Times New Roman" w:hAnsi="Times New Roman" w:eastAsia="仿宋_GB2312" w:cs="Times New Roman"/>
          <w:kern w:val="2"/>
          <w:sz w:val="32"/>
          <w:szCs w:val="32"/>
          <w:lang w:val="en-US" w:eastAsia="zh-CN" w:bidi="ar-SA"/>
        </w:rPr>
        <w:t>2025年部门和单位预算公开内容包括预算报表及文字说明，我处已制定公开模板（见附件2和3），省直部门可通过预算管理一体化系统导出公开报表，认真核对并完善预算报表及文字说明有关内容，各部门预算处严格把关、审核无误后公开，确保公开格式一致，公开内容全面、真实、准确。</w:t>
      </w:r>
      <w:r>
        <w:rPr>
          <w:rFonts w:hint="eastAsia" w:ascii="Times New Roman" w:hAnsi="Times New Roman" w:eastAsia="仿宋_GB2312" w:cs="Times New Roman"/>
          <w:b/>
          <w:bCs/>
          <w:kern w:val="2"/>
          <w:sz w:val="32"/>
          <w:szCs w:val="32"/>
          <w:lang w:val="en-US" w:eastAsia="zh-CN" w:bidi="ar-SA"/>
        </w:rPr>
        <w:t>二是严格审查公开内容。</w:t>
      </w:r>
      <w:r>
        <w:rPr>
          <w:rFonts w:hint="eastAsia" w:ascii="Times New Roman" w:hAnsi="Times New Roman" w:eastAsia="仿宋_GB2312" w:cs="Times New Roman"/>
          <w:kern w:val="2"/>
          <w:sz w:val="32"/>
          <w:szCs w:val="32"/>
          <w:lang w:val="en-US" w:eastAsia="zh-CN" w:bidi="ar-SA"/>
        </w:rPr>
        <w:t>对经预算部门（单位）按保密审查机制确定的涉密以及其他不得公开的内容，可按规定不予公开，并由预算部门、单位负责。对机关运行经费、“三公”经费、一般性支出、政府采购、国有资产占有使用及新增资产配置、预算绩效目标等社会敏感度较高的事项要重点关注，防止引发负面舆情。</w:t>
      </w:r>
      <w:r>
        <w:rPr>
          <w:rFonts w:hint="eastAsia" w:ascii="Times New Roman" w:hAnsi="Times New Roman" w:eastAsia="仿宋_GB2312" w:cs="Times New Roman"/>
          <w:b/>
          <w:bCs/>
          <w:kern w:val="2"/>
          <w:sz w:val="32"/>
          <w:szCs w:val="32"/>
          <w:lang w:val="en-US" w:eastAsia="zh-CN" w:bidi="ar-SA"/>
        </w:rPr>
        <w:t>三是统一公开渠道。</w:t>
      </w:r>
      <w:r>
        <w:rPr>
          <w:rFonts w:hint="eastAsia" w:ascii="Times New Roman" w:hAnsi="Times New Roman" w:eastAsia="仿宋_GB2312" w:cs="Times New Roman"/>
          <w:kern w:val="2"/>
          <w:sz w:val="32"/>
          <w:szCs w:val="32"/>
          <w:lang w:val="en-US" w:eastAsia="zh-CN" w:bidi="ar-SA"/>
        </w:rPr>
        <w:t>所有部门预算、单位预算应分别在本部门、本单位门户网站和省预决算公开平台（设在省财政厅门户网址）集中公开，没有门户网站的单位在部门网站上公开，并保持长期公开状态。</w:t>
      </w:r>
      <w:r>
        <w:rPr>
          <w:rFonts w:hint="eastAsia" w:eastAsia="仿宋_GB2312"/>
          <w:sz w:val="32"/>
          <w:szCs w:val="32"/>
        </w:rPr>
        <w:t>请各处室于</w:t>
      </w:r>
      <w:r>
        <w:rPr>
          <w:rFonts w:hint="eastAsia" w:eastAsia="仿宋_GB2312"/>
          <w:b/>
          <w:bCs/>
          <w:sz w:val="32"/>
          <w:szCs w:val="32"/>
        </w:rPr>
        <w:t>2月</w:t>
      </w:r>
      <w:r>
        <w:rPr>
          <w:rFonts w:hint="eastAsia" w:eastAsia="仿宋_GB2312"/>
          <w:b/>
          <w:bCs/>
          <w:sz w:val="32"/>
          <w:szCs w:val="32"/>
          <w:lang w:val="en-US" w:eastAsia="zh-CN"/>
        </w:rPr>
        <w:t>19</w:t>
      </w:r>
      <w:r>
        <w:rPr>
          <w:rFonts w:hint="eastAsia" w:eastAsia="仿宋_GB2312"/>
          <w:b/>
          <w:bCs/>
          <w:sz w:val="32"/>
          <w:szCs w:val="32"/>
        </w:rPr>
        <w:t>日（周</w:t>
      </w:r>
      <w:r>
        <w:rPr>
          <w:rFonts w:hint="eastAsia" w:eastAsia="仿宋_GB2312"/>
          <w:b/>
          <w:bCs/>
          <w:sz w:val="32"/>
          <w:szCs w:val="32"/>
          <w:lang w:eastAsia="zh-CN"/>
        </w:rPr>
        <w:t>三</w:t>
      </w:r>
      <w:r>
        <w:rPr>
          <w:rFonts w:hint="eastAsia" w:eastAsia="仿宋_GB2312"/>
          <w:b/>
          <w:bCs/>
          <w:sz w:val="32"/>
          <w:szCs w:val="32"/>
        </w:rPr>
        <w:t>）</w:t>
      </w:r>
      <w:r>
        <w:rPr>
          <w:rFonts w:hint="eastAsia" w:eastAsia="仿宋_GB2312"/>
          <w:sz w:val="32"/>
          <w:szCs w:val="32"/>
        </w:rPr>
        <w:t>前收齐部门预算公开说明及表格，于</w:t>
      </w:r>
      <w:r>
        <w:rPr>
          <w:rFonts w:hint="eastAsia" w:eastAsia="仿宋_GB2312"/>
          <w:b/>
          <w:bCs/>
          <w:sz w:val="32"/>
          <w:szCs w:val="32"/>
        </w:rPr>
        <w:t>3月</w:t>
      </w:r>
      <w:r>
        <w:rPr>
          <w:rFonts w:hint="eastAsia" w:eastAsia="仿宋_GB2312"/>
          <w:b/>
          <w:bCs/>
          <w:sz w:val="32"/>
          <w:szCs w:val="32"/>
          <w:lang w:val="en-US" w:eastAsia="zh-CN"/>
        </w:rPr>
        <w:t>5</w:t>
      </w:r>
      <w:r>
        <w:rPr>
          <w:rFonts w:hint="eastAsia" w:eastAsia="仿宋_GB2312"/>
          <w:b/>
          <w:bCs/>
          <w:sz w:val="32"/>
          <w:szCs w:val="32"/>
        </w:rPr>
        <w:t>日（周</w:t>
      </w:r>
      <w:r>
        <w:rPr>
          <w:rFonts w:hint="eastAsia" w:eastAsia="仿宋_GB2312"/>
          <w:b/>
          <w:bCs/>
          <w:sz w:val="32"/>
          <w:szCs w:val="32"/>
          <w:lang w:eastAsia="zh-CN"/>
        </w:rPr>
        <w:t>三</w:t>
      </w:r>
      <w:r>
        <w:rPr>
          <w:rFonts w:hint="eastAsia" w:eastAsia="仿宋_GB2312"/>
          <w:b/>
          <w:bCs/>
          <w:sz w:val="32"/>
          <w:szCs w:val="32"/>
        </w:rPr>
        <w:t>）</w:t>
      </w:r>
      <w:r>
        <w:rPr>
          <w:rFonts w:hint="eastAsia" w:eastAsia="仿宋_GB2312"/>
          <w:sz w:val="32"/>
          <w:szCs w:val="32"/>
        </w:rPr>
        <w:t>前收齐单位预算公开说明及报表，统一交厅办公室在省预决算公开平台上集中公开（上传要求见附件</w:t>
      </w:r>
      <w:r>
        <w:rPr>
          <w:rFonts w:hint="eastAsia" w:eastAsia="仿宋_GB2312"/>
          <w:sz w:val="32"/>
          <w:szCs w:val="32"/>
          <w:lang w:val="en-US" w:eastAsia="zh-CN"/>
        </w:rPr>
        <w:t>4</w:t>
      </w:r>
      <w:r>
        <w:rPr>
          <w:rFonts w:hint="eastAsia" w:eastAsia="仿宋_GB2312"/>
          <w:sz w:val="32"/>
          <w:szCs w:val="32"/>
        </w:rPr>
        <w:t>）。</w:t>
      </w:r>
      <w:r>
        <w:rPr>
          <w:rFonts w:hint="eastAsia" w:eastAsia="仿宋_GB2312"/>
          <w:sz w:val="32"/>
          <w:szCs w:val="32"/>
          <w:lang w:eastAsia="zh-CN"/>
        </w:rPr>
        <w:t>省预决算公开平台集中公开当天，部门和单位预算同步在本部门、本单位门户网站上公开，不得提前或延后。</w:t>
      </w:r>
    </w:p>
    <w:p w14:paraId="641BA5E9">
      <w:pPr>
        <w:spacing w:line="600" w:lineRule="exact"/>
        <w:ind w:firstLine="600"/>
        <w:rPr>
          <w:rFonts w:hint="eastAsia" w:eastAsia="仿宋_GB2312"/>
          <w:sz w:val="32"/>
          <w:szCs w:val="32"/>
          <w:lang w:val="en-US" w:eastAsia="zh-CN"/>
        </w:rPr>
      </w:pPr>
      <w:r>
        <w:rPr>
          <w:rFonts w:hint="eastAsia" w:eastAsia="仿宋_GB2312"/>
          <w:sz w:val="32"/>
          <w:szCs w:val="32"/>
          <w:lang w:val="en-US" w:eastAsia="zh-CN"/>
        </w:rPr>
        <w:t xml:space="preserve"> </w:t>
      </w:r>
    </w:p>
    <w:p w14:paraId="36FEBEC6">
      <w:pPr>
        <w:spacing w:line="600" w:lineRule="exact"/>
        <w:ind w:firstLine="600"/>
        <w:rPr>
          <w:rFonts w:eastAsia="仿宋_GB2312"/>
          <w:sz w:val="32"/>
          <w:szCs w:val="32"/>
        </w:rPr>
      </w:pPr>
      <w:r>
        <w:rPr>
          <w:rFonts w:eastAsia="仿宋_GB2312"/>
          <w:sz w:val="32"/>
          <w:szCs w:val="32"/>
        </w:rPr>
        <w:t>附件：</w:t>
      </w:r>
    </w:p>
    <w:p w14:paraId="18C177E9">
      <w:pPr>
        <w:spacing w:line="600" w:lineRule="exact"/>
        <w:ind w:firstLine="600"/>
        <w:rPr>
          <w:rFonts w:eastAsia="仿宋_GB2312"/>
          <w:sz w:val="32"/>
          <w:szCs w:val="32"/>
        </w:rPr>
      </w:pPr>
      <w:r>
        <w:rPr>
          <w:rFonts w:hint="eastAsia" w:eastAsia="仿宋_GB2312"/>
          <w:sz w:val="32"/>
          <w:szCs w:val="32"/>
          <w:lang w:val="en-US" w:eastAsia="zh-CN"/>
        </w:rPr>
        <w:t>1、</w:t>
      </w:r>
      <w:r>
        <w:rPr>
          <w:rFonts w:eastAsia="仿宋_GB2312"/>
          <w:sz w:val="32"/>
          <w:szCs w:val="32"/>
        </w:rPr>
        <w:t>湖南省财政厅关于××厅（局）</w:t>
      </w:r>
      <w:r>
        <w:rPr>
          <w:rFonts w:hint="eastAsia" w:eastAsia="仿宋_GB2312"/>
          <w:sz w:val="32"/>
          <w:szCs w:val="32"/>
          <w:lang w:eastAsia="zh-CN"/>
        </w:rPr>
        <w:t>2025年</w:t>
      </w:r>
      <w:r>
        <w:rPr>
          <w:rFonts w:eastAsia="仿宋_GB2312"/>
          <w:sz w:val="32"/>
          <w:szCs w:val="32"/>
        </w:rPr>
        <w:t>部门预算的批复（参考格式）</w:t>
      </w:r>
    </w:p>
    <w:p w14:paraId="08AEFDD9">
      <w:pPr>
        <w:spacing w:line="600" w:lineRule="exact"/>
        <w:ind w:firstLine="636"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部门预算公开模板（表格通过</w:t>
      </w:r>
      <w:r>
        <w:rPr>
          <w:rFonts w:hint="eastAsia" w:ascii="Times New Roman" w:hAnsi="Times New Roman" w:eastAsia="仿宋_GB2312" w:cs="Times New Roman"/>
          <w:sz w:val="32"/>
          <w:szCs w:val="32"/>
          <w:lang w:eastAsia="zh-CN"/>
        </w:rPr>
        <w:t>系统导出</w:t>
      </w:r>
      <w:r>
        <w:rPr>
          <w:rFonts w:hint="default" w:ascii="Times New Roman" w:hAnsi="Times New Roman" w:eastAsia="仿宋_GB2312" w:cs="Times New Roman"/>
          <w:sz w:val="32"/>
          <w:szCs w:val="32"/>
        </w:rPr>
        <w:t>）</w:t>
      </w:r>
    </w:p>
    <w:p w14:paraId="09A0C51D">
      <w:pPr>
        <w:spacing w:line="600" w:lineRule="exact"/>
        <w:ind w:firstLine="636"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单位预算公开模板（表格通过</w:t>
      </w:r>
      <w:r>
        <w:rPr>
          <w:rFonts w:hint="eastAsia" w:ascii="Times New Roman" w:hAnsi="Times New Roman" w:eastAsia="仿宋_GB2312" w:cs="Times New Roman"/>
          <w:sz w:val="32"/>
          <w:szCs w:val="32"/>
          <w:lang w:eastAsia="zh-CN"/>
        </w:rPr>
        <w:t>系统导出）</w:t>
      </w:r>
    </w:p>
    <w:p w14:paraId="7E6761B3">
      <w:pPr>
        <w:spacing w:line="600" w:lineRule="exact"/>
        <w:ind w:firstLine="636"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公开内容上传公开平台有关要求</w:t>
      </w:r>
    </w:p>
    <w:p w14:paraId="76C3AA17">
      <w:pPr>
        <w:spacing w:line="600" w:lineRule="exact"/>
        <w:ind w:firstLine="636"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预算公开常见问题提示清单</w:t>
      </w:r>
    </w:p>
    <w:p w14:paraId="53E84872">
      <w:pPr>
        <w:spacing w:line="600" w:lineRule="exact"/>
        <w:rPr>
          <w:rFonts w:eastAsia="仿宋_GB2312"/>
          <w:sz w:val="32"/>
          <w:szCs w:val="32"/>
        </w:rPr>
      </w:pPr>
    </w:p>
    <w:p w14:paraId="2EEA6CA8">
      <w:pPr>
        <w:spacing w:line="600" w:lineRule="exact"/>
        <w:ind w:firstLine="600"/>
        <w:rPr>
          <w:rFonts w:eastAsia="仿宋_GB2312"/>
          <w:sz w:val="32"/>
          <w:szCs w:val="32"/>
        </w:rPr>
      </w:pPr>
    </w:p>
    <w:p w14:paraId="7CD7852E">
      <w:pPr>
        <w:spacing w:line="600" w:lineRule="exact"/>
        <w:ind w:firstLine="6303" w:firstLineChars="1982"/>
        <w:rPr>
          <w:rFonts w:eastAsia="仿宋_GB2312"/>
          <w:sz w:val="32"/>
          <w:szCs w:val="32"/>
        </w:rPr>
      </w:pPr>
      <w:r>
        <w:rPr>
          <w:rFonts w:eastAsia="仿宋_GB2312"/>
          <w:sz w:val="32"/>
          <w:szCs w:val="32"/>
        </w:rPr>
        <w:t>预算处</w:t>
      </w:r>
    </w:p>
    <w:p w14:paraId="182B679C">
      <w:pPr>
        <w:spacing w:line="600" w:lineRule="exact"/>
        <w:ind w:firstLine="5661" w:firstLineChars="1780"/>
        <w:rPr>
          <w:rFonts w:eastAsia="仿宋_GB2312"/>
          <w:sz w:val="32"/>
          <w:szCs w:val="32"/>
        </w:rPr>
      </w:pPr>
      <w:r>
        <w:rPr>
          <w:rFonts w:hint="eastAsia" w:eastAsia="仿宋_GB2312"/>
          <w:sz w:val="32"/>
          <w:szCs w:val="32"/>
          <w:lang w:eastAsia="zh-CN"/>
        </w:rPr>
        <w:t>2025年</w:t>
      </w:r>
      <w:r>
        <w:rPr>
          <w:rFonts w:hint="eastAsia" w:eastAsia="仿宋_GB2312"/>
          <w:sz w:val="32"/>
          <w:szCs w:val="32"/>
        </w:rPr>
        <w:t>1</w:t>
      </w:r>
      <w:r>
        <w:rPr>
          <w:rFonts w:eastAsia="仿宋_GB2312"/>
          <w:sz w:val="32"/>
          <w:szCs w:val="32"/>
        </w:rPr>
        <w:t>月</w:t>
      </w:r>
      <w:r>
        <w:rPr>
          <w:rFonts w:hint="eastAsia" w:eastAsia="仿宋_GB2312"/>
          <w:sz w:val="32"/>
          <w:szCs w:val="32"/>
          <w:lang w:val="en-US" w:eastAsia="zh-CN"/>
        </w:rPr>
        <w:t>21</w:t>
      </w:r>
      <w:r>
        <w:rPr>
          <w:rFonts w:hint="eastAsia" w:eastAsia="仿宋_GB2312"/>
          <w:sz w:val="32"/>
          <w:szCs w:val="32"/>
        </w:rPr>
        <w:t>日</w:t>
      </w:r>
    </w:p>
    <w:p w14:paraId="472CCC16">
      <w:pPr>
        <w:spacing w:line="600" w:lineRule="exact"/>
        <w:rPr>
          <w:rFonts w:eastAsia="仿宋_GB2312"/>
          <w:bCs/>
          <w:kern w:val="0"/>
          <w:sz w:val="32"/>
          <w:szCs w:val="32"/>
        </w:rPr>
      </w:pPr>
      <w:r>
        <w:rPr>
          <w:rFonts w:eastAsia="仿宋_GB2312"/>
          <w:bCs/>
          <w:kern w:val="0"/>
          <w:sz w:val="32"/>
          <w:szCs w:val="32"/>
        </w:rPr>
        <w:br w:type="page"/>
      </w: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1</w:t>
      </w:r>
    </w:p>
    <w:p w14:paraId="7557BC9F">
      <w:pPr>
        <w:spacing w:line="600" w:lineRule="exact"/>
        <w:jc w:val="center"/>
        <w:rPr>
          <w:rFonts w:eastAsia="方正小标宋_GBK"/>
          <w:bCs/>
          <w:kern w:val="0"/>
          <w:sz w:val="44"/>
          <w:szCs w:val="44"/>
        </w:rPr>
      </w:pPr>
    </w:p>
    <w:p w14:paraId="0D49C6B5">
      <w:pPr>
        <w:spacing w:line="700" w:lineRule="exact"/>
        <w:ind w:right="-556" w:rightChars="-200"/>
        <w:jc w:val="center"/>
        <w:rPr>
          <w:rFonts w:eastAsia="方正小标宋_GBK"/>
          <w:bCs/>
          <w:kern w:val="0"/>
          <w:sz w:val="44"/>
          <w:szCs w:val="44"/>
        </w:rPr>
      </w:pPr>
      <w:r>
        <w:rPr>
          <w:rFonts w:eastAsia="方正小标宋_GBK"/>
          <w:bCs/>
          <w:kern w:val="0"/>
          <w:sz w:val="44"/>
          <w:szCs w:val="44"/>
        </w:rPr>
        <w:t>湖南省财政厅关于××厅（局）</w:t>
      </w:r>
      <w:r>
        <w:rPr>
          <w:rFonts w:hint="eastAsia" w:eastAsia="方正小标宋_GBK"/>
          <w:bCs/>
          <w:kern w:val="0"/>
          <w:sz w:val="44"/>
          <w:szCs w:val="44"/>
          <w:lang w:eastAsia="zh-CN"/>
        </w:rPr>
        <w:t>2025年</w:t>
      </w:r>
      <w:r>
        <w:rPr>
          <w:rFonts w:eastAsia="方正小标宋_GBK"/>
          <w:bCs/>
          <w:kern w:val="0"/>
          <w:sz w:val="44"/>
          <w:szCs w:val="44"/>
        </w:rPr>
        <w:t>部门预算的批复</w:t>
      </w:r>
    </w:p>
    <w:p w14:paraId="4B7BD42E">
      <w:pPr>
        <w:spacing w:before="247" w:beforeLines="50" w:line="600" w:lineRule="exact"/>
        <w:jc w:val="center"/>
        <w:rPr>
          <w:rFonts w:eastAsia="楷体_GB2312"/>
          <w:bCs/>
          <w:kern w:val="0"/>
          <w:sz w:val="32"/>
          <w:szCs w:val="32"/>
        </w:rPr>
      </w:pPr>
      <w:r>
        <w:rPr>
          <w:rFonts w:eastAsia="楷体_GB2312"/>
          <w:bCs/>
          <w:kern w:val="0"/>
          <w:sz w:val="32"/>
          <w:szCs w:val="32"/>
        </w:rPr>
        <w:t>（参考格式）</w:t>
      </w:r>
    </w:p>
    <w:p w14:paraId="768D1B73">
      <w:pPr>
        <w:spacing w:line="600" w:lineRule="exact"/>
        <w:jc w:val="center"/>
        <w:rPr>
          <w:rFonts w:eastAsia="仿宋_GB2312"/>
          <w:b/>
          <w:bCs/>
          <w:kern w:val="0"/>
          <w:sz w:val="32"/>
          <w:szCs w:val="32"/>
        </w:rPr>
      </w:pPr>
      <w:r>
        <w:rPr>
          <w:rFonts w:eastAsia="仿宋_GB2312"/>
          <w:b/>
          <w:bCs/>
          <w:kern w:val="0"/>
          <w:sz w:val="32"/>
          <w:szCs w:val="32"/>
        </w:rPr>
        <w:t xml:space="preserve">        </w:t>
      </w:r>
    </w:p>
    <w:p w14:paraId="2ECCEEB2">
      <w:pPr>
        <w:keepNext w:val="0"/>
        <w:keepLines w:val="0"/>
        <w:pageBreakBefore w:val="0"/>
        <w:widowControl/>
        <w:kinsoku/>
        <w:wordWrap/>
        <w:topLinePunct w:val="0"/>
        <w:autoSpaceDE/>
        <w:autoSpaceDN/>
        <w:bidi w:val="0"/>
        <w:adjustRightInd/>
        <w:snapToGrid/>
        <w:spacing w:line="600" w:lineRule="exact"/>
        <w:jc w:val="left"/>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××厅（局）</w:t>
      </w:r>
      <w:r>
        <w:rPr>
          <w:rFonts w:ascii="Times New Roman" w:hAnsi="Times New Roman" w:eastAsia="仿宋_GB2312" w:cs="Times New Roman"/>
          <w:kern w:val="0"/>
          <w:sz w:val="32"/>
          <w:szCs w:val="32"/>
        </w:rPr>
        <w:t xml:space="preserve">： </w:t>
      </w:r>
    </w:p>
    <w:p w14:paraId="79EFBC3E">
      <w:pPr>
        <w:keepNext w:val="0"/>
        <w:keepLines w:val="0"/>
        <w:pageBreakBefore w:val="0"/>
        <w:widowControl/>
        <w:kinsoku/>
        <w:wordWrap/>
        <w:topLinePunct w:val="0"/>
        <w:autoSpaceDE/>
        <w:autoSpaceDN/>
        <w:bidi w:val="0"/>
        <w:adjustRightInd/>
        <w:snapToGrid/>
        <w:spacing w:line="600" w:lineRule="exact"/>
        <w:ind w:firstLine="636" w:firstLineChars="200"/>
        <w:jc w:val="left"/>
        <w:textAlignment w:val="auto"/>
        <w:rPr>
          <w:rFonts w:eastAsia="仿宋_GB2312"/>
          <w:kern w:val="0"/>
          <w:sz w:val="32"/>
          <w:szCs w:val="32"/>
        </w:rPr>
      </w:pPr>
      <w:r>
        <w:rPr>
          <w:rFonts w:hint="eastAsia" w:eastAsia="仿宋_GB2312"/>
          <w:kern w:val="0"/>
          <w:sz w:val="32"/>
          <w:szCs w:val="32"/>
          <w:lang w:eastAsia="zh-CN"/>
        </w:rPr>
        <w:t>2025年</w:t>
      </w:r>
      <w:r>
        <w:rPr>
          <w:rFonts w:eastAsia="仿宋_GB2312"/>
          <w:kern w:val="0"/>
          <w:sz w:val="32"/>
          <w:szCs w:val="32"/>
        </w:rPr>
        <w:t>省级预算已经省十</w:t>
      </w:r>
      <w:r>
        <w:rPr>
          <w:rFonts w:hint="eastAsia" w:eastAsia="仿宋_GB2312"/>
          <w:kern w:val="0"/>
          <w:sz w:val="32"/>
          <w:szCs w:val="32"/>
          <w:lang w:eastAsia="zh-CN"/>
        </w:rPr>
        <w:t>四</w:t>
      </w:r>
      <w:r>
        <w:rPr>
          <w:rFonts w:eastAsia="仿宋_GB2312"/>
          <w:kern w:val="0"/>
          <w:sz w:val="32"/>
          <w:szCs w:val="32"/>
        </w:rPr>
        <w:t>届人大</w:t>
      </w:r>
      <w:r>
        <w:rPr>
          <w:rFonts w:hint="eastAsia" w:eastAsia="仿宋_GB2312"/>
          <w:kern w:val="0"/>
          <w:sz w:val="32"/>
          <w:szCs w:val="32"/>
          <w:lang w:eastAsia="zh-CN"/>
        </w:rPr>
        <w:t>三</w:t>
      </w:r>
      <w:r>
        <w:rPr>
          <w:rFonts w:eastAsia="仿宋_GB2312"/>
          <w:kern w:val="0"/>
          <w:sz w:val="32"/>
          <w:szCs w:val="32"/>
        </w:rPr>
        <w:t>次会议审查通过。根据预算法有关规定，现批复你部门</w:t>
      </w:r>
      <w:r>
        <w:rPr>
          <w:rFonts w:hint="eastAsia" w:eastAsia="仿宋_GB2312"/>
          <w:kern w:val="0"/>
          <w:sz w:val="32"/>
          <w:szCs w:val="32"/>
          <w:lang w:eastAsia="zh-CN"/>
        </w:rPr>
        <w:t>2025年</w:t>
      </w:r>
      <w:r>
        <w:rPr>
          <w:rFonts w:eastAsia="仿宋_GB2312"/>
          <w:kern w:val="0"/>
          <w:sz w:val="32"/>
          <w:szCs w:val="32"/>
        </w:rPr>
        <w:t>部门预算，并就有关事项提出以下要求：</w:t>
      </w:r>
    </w:p>
    <w:p w14:paraId="78E0E82B">
      <w:pPr>
        <w:keepNext w:val="0"/>
        <w:keepLines w:val="0"/>
        <w:pageBreakBefore w:val="0"/>
        <w:kinsoku/>
        <w:wordWrap/>
        <w:overflowPunct w:val="0"/>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kern w:val="0"/>
          <w:sz w:val="32"/>
          <w:szCs w:val="32"/>
          <w:lang w:eastAsia="zh-CN"/>
        </w:rPr>
      </w:pPr>
      <w:r>
        <w:rPr>
          <w:rFonts w:hint="eastAsia" w:eastAsia="黑体"/>
          <w:kern w:val="0"/>
          <w:sz w:val="32"/>
          <w:szCs w:val="32"/>
          <w:lang w:eastAsia="zh-CN"/>
        </w:rPr>
        <w:t>一、全面深化零基预算改革。</w:t>
      </w:r>
      <w:r>
        <w:rPr>
          <w:rFonts w:hint="default" w:ascii="Times New Roman" w:hAnsi="Times New Roman" w:eastAsia="仿宋_GB2312" w:cs="Times New Roman"/>
          <w:kern w:val="2"/>
          <w:sz w:val="32"/>
          <w:szCs w:val="32"/>
          <w:highlight w:val="none"/>
          <w:lang w:val="en-US" w:eastAsia="zh-CN" w:bidi="ar-SA"/>
        </w:rPr>
        <w:t>认真落实</w:t>
      </w:r>
      <w:r>
        <w:rPr>
          <w:rFonts w:hint="default" w:ascii="Times New Roman" w:hAnsi="Times New Roman" w:eastAsia="仿宋_GB2312" w:cs="Times New Roman"/>
          <w:sz w:val="32"/>
          <w:szCs w:val="32"/>
          <w:highlight w:val="none"/>
          <w:lang w:val="en-US" w:eastAsia="zh-CN"/>
        </w:rPr>
        <w:t>《湖南省人民政府关于全面深化零基预算改革的指导意见》（湘政发〔2024〕14号）要求</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kern w:val="0"/>
          <w:sz w:val="32"/>
          <w:szCs w:val="32"/>
          <w:lang w:eastAsia="zh-CN"/>
        </w:rPr>
        <w:t>坚持“以零为基”“以事定钱”“以效促用”，打破条块分割、支出固化格局，合理确定支出顺序。加强专项资金、跨层级资金、跨部门资金和单位资金统筹，集中财力办大事。</w:t>
      </w:r>
    </w:p>
    <w:p w14:paraId="47F05F92">
      <w:pPr>
        <w:keepNext w:val="0"/>
        <w:keepLines w:val="0"/>
        <w:pageBreakBefore w:val="0"/>
        <w:kinsoku/>
        <w:wordWrap/>
        <w:overflowPunct w:val="0"/>
        <w:topLinePunct w:val="0"/>
        <w:autoSpaceDE/>
        <w:autoSpaceDN/>
        <w:bidi w:val="0"/>
        <w:adjustRightInd/>
        <w:snapToGrid/>
        <w:spacing w:line="600" w:lineRule="exact"/>
        <w:ind w:firstLine="636" w:firstLineChars="200"/>
        <w:textAlignment w:val="auto"/>
        <w:rPr>
          <w:rFonts w:hint="eastAsia" w:eastAsia="仿宋_GB2312"/>
          <w:sz w:val="32"/>
          <w:szCs w:val="32"/>
          <w:lang w:eastAsia="zh-CN"/>
        </w:rPr>
      </w:pPr>
      <w:r>
        <w:rPr>
          <w:rFonts w:hint="eastAsia" w:eastAsia="黑体"/>
          <w:kern w:val="0"/>
          <w:sz w:val="32"/>
          <w:szCs w:val="32"/>
          <w:lang w:eastAsia="zh-CN"/>
        </w:rPr>
        <w:t>二</w:t>
      </w:r>
      <w:r>
        <w:rPr>
          <w:rFonts w:eastAsia="黑体"/>
          <w:kern w:val="0"/>
          <w:sz w:val="32"/>
          <w:szCs w:val="32"/>
        </w:rPr>
        <w:t>、</w:t>
      </w:r>
      <w:r>
        <w:rPr>
          <w:rFonts w:hint="eastAsia" w:eastAsia="黑体"/>
          <w:kern w:val="0"/>
          <w:sz w:val="32"/>
          <w:szCs w:val="32"/>
          <w:lang w:eastAsia="zh-CN"/>
        </w:rPr>
        <w:t>持之以恒过紧日子</w:t>
      </w:r>
      <w:r>
        <w:rPr>
          <w:rFonts w:eastAsia="黑体"/>
          <w:kern w:val="0"/>
          <w:sz w:val="32"/>
          <w:szCs w:val="32"/>
        </w:rPr>
        <w:t>。</w:t>
      </w:r>
      <w:r>
        <w:rPr>
          <w:rFonts w:hint="eastAsia" w:ascii="Times New Roman" w:hAnsi="Times New Roman" w:eastAsia="仿宋_GB2312" w:cs="Times New Roman"/>
          <w:kern w:val="0"/>
          <w:sz w:val="32"/>
          <w:szCs w:val="32"/>
          <w:lang w:eastAsia="zh-CN"/>
        </w:rPr>
        <w:t>贯彻落实党政机关习惯过紧日子有关要求，</w:t>
      </w:r>
      <w:r>
        <w:rPr>
          <w:rFonts w:hint="eastAsia" w:eastAsia="仿宋_GB2312"/>
          <w:sz w:val="32"/>
          <w:szCs w:val="32"/>
        </w:rPr>
        <w:t>进一步优化支出结构，</w:t>
      </w:r>
      <w:r>
        <w:rPr>
          <w:rFonts w:hint="eastAsia" w:eastAsia="仿宋_GB2312"/>
          <w:sz w:val="32"/>
          <w:szCs w:val="32"/>
          <w:lang w:eastAsia="zh-CN"/>
        </w:rPr>
        <w:t>持续压降</w:t>
      </w:r>
      <w:r>
        <w:rPr>
          <w:rFonts w:hint="eastAsia" w:eastAsia="仿宋_GB2312"/>
          <w:sz w:val="32"/>
          <w:szCs w:val="32"/>
        </w:rPr>
        <w:t>“三公”经费、办公经费、会议培训等行政开支</w:t>
      </w:r>
      <w:r>
        <w:rPr>
          <w:rFonts w:hint="eastAsia" w:eastAsia="仿宋_GB2312"/>
          <w:sz w:val="32"/>
          <w:szCs w:val="32"/>
          <w:lang w:eastAsia="zh-CN"/>
        </w:rPr>
        <w:t>，切实加强节庆论坛展会活动、信息化项目、政府购买服务等项目经费管控，勤俭办一切事业。</w:t>
      </w:r>
    </w:p>
    <w:p w14:paraId="1A08F0B7">
      <w:pPr>
        <w:keepNext w:val="0"/>
        <w:keepLines w:val="0"/>
        <w:pageBreakBefore w:val="0"/>
        <w:kinsoku/>
        <w:wordWrap/>
        <w:overflowPunct w:val="0"/>
        <w:topLinePunct w:val="0"/>
        <w:autoSpaceDE/>
        <w:autoSpaceDN/>
        <w:bidi w:val="0"/>
        <w:adjustRightInd/>
        <w:snapToGrid/>
        <w:spacing w:line="600" w:lineRule="exact"/>
        <w:ind w:firstLine="636" w:firstLineChars="200"/>
        <w:textAlignment w:val="auto"/>
        <w:rPr>
          <w:rFonts w:eastAsia="仿宋_GB2312"/>
          <w:kern w:val="0"/>
          <w:sz w:val="32"/>
          <w:szCs w:val="32"/>
        </w:rPr>
      </w:pPr>
      <w:r>
        <w:rPr>
          <w:rFonts w:hint="eastAsia" w:eastAsia="黑体"/>
          <w:kern w:val="0"/>
          <w:sz w:val="32"/>
          <w:szCs w:val="32"/>
          <w:lang w:eastAsia="zh-CN"/>
        </w:rPr>
        <w:t>三</w:t>
      </w:r>
      <w:r>
        <w:rPr>
          <w:rFonts w:eastAsia="黑体"/>
          <w:kern w:val="0"/>
          <w:sz w:val="32"/>
          <w:szCs w:val="32"/>
        </w:rPr>
        <w:t>、</w:t>
      </w:r>
      <w:r>
        <w:rPr>
          <w:rFonts w:hint="eastAsia" w:eastAsia="黑体"/>
          <w:kern w:val="0"/>
          <w:sz w:val="32"/>
          <w:szCs w:val="32"/>
          <w:lang w:eastAsia="zh-CN"/>
        </w:rPr>
        <w:t>强化</w:t>
      </w:r>
      <w:r>
        <w:rPr>
          <w:rFonts w:eastAsia="黑体"/>
          <w:kern w:val="0"/>
          <w:sz w:val="32"/>
          <w:szCs w:val="32"/>
        </w:rPr>
        <w:t>预算执行</w:t>
      </w:r>
      <w:r>
        <w:rPr>
          <w:rFonts w:hint="eastAsia" w:eastAsia="黑体"/>
          <w:kern w:val="0"/>
          <w:sz w:val="32"/>
          <w:szCs w:val="32"/>
          <w:lang w:eastAsia="zh-CN"/>
        </w:rPr>
        <w:t>约束</w:t>
      </w:r>
      <w:r>
        <w:rPr>
          <w:rFonts w:eastAsia="黑体"/>
          <w:kern w:val="0"/>
          <w:sz w:val="32"/>
          <w:szCs w:val="32"/>
        </w:rPr>
        <w:t>。</w:t>
      </w:r>
      <w:r>
        <w:rPr>
          <w:rFonts w:hint="eastAsia" w:eastAsia="仿宋_GB2312"/>
          <w:kern w:val="0"/>
          <w:sz w:val="32"/>
          <w:szCs w:val="32"/>
        </w:rPr>
        <w:t>各预算单位是本单位的预算执行主体，负责本单位的预算执行，并对执行结果负责。</w:t>
      </w:r>
      <w:r>
        <w:rPr>
          <w:rFonts w:eastAsia="仿宋_GB2312"/>
          <w:kern w:val="0"/>
          <w:sz w:val="32"/>
          <w:szCs w:val="32"/>
        </w:rPr>
        <w:t>部门预算经省人代会批准后具有法律效力，</w:t>
      </w:r>
      <w:r>
        <w:rPr>
          <w:rFonts w:eastAsia="仿宋_GB2312"/>
          <w:sz w:val="32"/>
          <w:szCs w:val="32"/>
        </w:rPr>
        <w:t>各项收支预算必须严格按照批复的项目、科目和金额执行，</w:t>
      </w:r>
      <w:r>
        <w:rPr>
          <w:rFonts w:hint="eastAsia" w:eastAsia="仿宋_GB2312"/>
          <w:kern w:val="0"/>
          <w:sz w:val="32"/>
          <w:szCs w:val="32"/>
        </w:rPr>
        <w:t>严禁超预算或无预算列支、超标准超范围列支、虚列多列费用或转嫁费用</w:t>
      </w:r>
      <w:r>
        <w:rPr>
          <w:rFonts w:eastAsia="仿宋_GB2312"/>
          <w:kern w:val="0"/>
          <w:sz w:val="32"/>
          <w:szCs w:val="32"/>
        </w:rPr>
        <w:t>。对部门超收的非税收入，执行中原则上不作调整，不得自行列支；发生短收的，报批后再调减收支预算。</w:t>
      </w:r>
    </w:p>
    <w:p w14:paraId="369DF98E">
      <w:pPr>
        <w:keepNext w:val="0"/>
        <w:keepLines w:val="0"/>
        <w:pageBreakBefore w:val="0"/>
        <w:kinsoku/>
        <w:wordWrap/>
        <w:topLinePunct w:val="0"/>
        <w:autoSpaceDE/>
        <w:autoSpaceDN/>
        <w:bidi w:val="0"/>
        <w:adjustRightInd/>
        <w:snapToGrid/>
        <w:spacing w:line="600" w:lineRule="exact"/>
        <w:ind w:firstLine="636" w:firstLineChars="200"/>
        <w:textAlignment w:val="auto"/>
        <w:rPr>
          <w:rFonts w:eastAsia="仿宋_GB2312"/>
          <w:sz w:val="32"/>
          <w:szCs w:val="32"/>
        </w:rPr>
      </w:pPr>
      <w:r>
        <w:rPr>
          <w:rFonts w:hint="eastAsia" w:eastAsia="黑体"/>
          <w:kern w:val="0"/>
          <w:sz w:val="32"/>
          <w:szCs w:val="32"/>
          <w:lang w:eastAsia="zh-CN"/>
        </w:rPr>
        <w:t>四</w:t>
      </w:r>
      <w:r>
        <w:rPr>
          <w:rFonts w:eastAsia="黑体"/>
          <w:kern w:val="0"/>
          <w:sz w:val="32"/>
          <w:szCs w:val="32"/>
        </w:rPr>
        <w:t>、加快预算执行进度</w:t>
      </w:r>
      <w:r>
        <w:rPr>
          <w:rFonts w:eastAsia="黑体"/>
          <w:sz w:val="32"/>
          <w:szCs w:val="32"/>
        </w:rPr>
        <w:t>。</w:t>
      </w:r>
      <w:r>
        <w:rPr>
          <w:rFonts w:eastAsia="仿宋_GB2312"/>
          <w:sz w:val="32"/>
          <w:szCs w:val="32"/>
        </w:rPr>
        <w:t>加快预算</w:t>
      </w:r>
      <w:r>
        <w:rPr>
          <w:rFonts w:hint="eastAsia" w:eastAsia="仿宋_GB2312"/>
          <w:sz w:val="32"/>
          <w:szCs w:val="32"/>
        </w:rPr>
        <w:t>下达</w:t>
      </w:r>
      <w:r>
        <w:rPr>
          <w:rFonts w:eastAsia="仿宋_GB2312"/>
          <w:sz w:val="32"/>
          <w:szCs w:val="32"/>
        </w:rPr>
        <w:t>进度</w:t>
      </w:r>
      <w:r>
        <w:rPr>
          <w:rFonts w:hint="eastAsia" w:eastAsia="仿宋_GB2312"/>
          <w:sz w:val="32"/>
          <w:szCs w:val="32"/>
          <w:lang w:eastAsia="zh-CN"/>
        </w:rPr>
        <w:t>，</w:t>
      </w:r>
      <w:r>
        <w:rPr>
          <w:rFonts w:eastAsia="仿宋_GB2312"/>
          <w:sz w:val="32"/>
          <w:szCs w:val="32"/>
        </w:rPr>
        <w:t>严格落实预算法</w:t>
      </w:r>
      <w:r>
        <w:rPr>
          <w:rFonts w:hint="eastAsia" w:eastAsia="仿宋_GB2312"/>
          <w:sz w:val="32"/>
          <w:szCs w:val="32"/>
        </w:rPr>
        <w:t>及其实施条例、</w:t>
      </w:r>
      <w:r>
        <w:rPr>
          <w:rFonts w:eastAsia="仿宋_GB2312"/>
          <w:sz w:val="32"/>
          <w:szCs w:val="32"/>
        </w:rPr>
        <w:t>预算管理相关规定，中央资金要在</w:t>
      </w:r>
      <w:r>
        <w:rPr>
          <w:rFonts w:hint="eastAsia" w:eastAsia="仿宋_GB2312"/>
          <w:sz w:val="32"/>
          <w:szCs w:val="32"/>
          <w:lang w:eastAsia="zh-CN"/>
        </w:rPr>
        <w:t>收到</w:t>
      </w:r>
      <w:r>
        <w:rPr>
          <w:rFonts w:eastAsia="仿宋_GB2312"/>
          <w:sz w:val="32"/>
          <w:szCs w:val="32"/>
        </w:rPr>
        <w:t>文件后30日内分配下达</w:t>
      </w:r>
      <w:r>
        <w:rPr>
          <w:rFonts w:hint="eastAsia" w:eastAsia="仿宋_GB2312"/>
          <w:sz w:val="32"/>
          <w:szCs w:val="32"/>
          <w:lang w:eastAsia="zh-CN"/>
        </w:rPr>
        <w:t>，省级</w:t>
      </w:r>
      <w:r>
        <w:rPr>
          <w:rFonts w:hint="default" w:ascii="Times New Roman" w:hAnsi="Times New Roman" w:eastAsia="仿宋_GB2312" w:cs="Times New Roman"/>
          <w:sz w:val="32"/>
          <w:szCs w:val="32"/>
        </w:rPr>
        <w:t>专项资金、</w:t>
      </w:r>
      <w:r>
        <w:rPr>
          <w:rFonts w:hint="eastAsia" w:ascii="Times New Roman" w:hAnsi="Times New Roman" w:eastAsia="仿宋_GB2312" w:cs="Times New Roman"/>
          <w:sz w:val="32"/>
          <w:szCs w:val="32"/>
          <w:lang w:eastAsia="zh-CN"/>
        </w:rPr>
        <w:t>其他事业发展资金、</w:t>
      </w:r>
      <w:r>
        <w:rPr>
          <w:rFonts w:hint="default" w:ascii="Times New Roman" w:hAnsi="Times New Roman" w:eastAsia="仿宋_GB2312" w:cs="Times New Roman"/>
          <w:sz w:val="32"/>
          <w:szCs w:val="32"/>
        </w:rPr>
        <w:t>部门系统业务经费等</w:t>
      </w:r>
      <w:r>
        <w:rPr>
          <w:rFonts w:hint="eastAsia" w:ascii="Times New Roman" w:hAnsi="Times New Roman" w:eastAsia="仿宋_GB2312" w:cs="Times New Roman"/>
          <w:sz w:val="32"/>
          <w:szCs w:val="32"/>
          <w:lang w:eastAsia="zh-CN"/>
        </w:rPr>
        <w:t>本级</w:t>
      </w:r>
      <w:r>
        <w:rPr>
          <w:rFonts w:hint="default" w:ascii="Times New Roman" w:hAnsi="Times New Roman" w:eastAsia="仿宋_GB2312" w:cs="Times New Roman"/>
          <w:sz w:val="32"/>
          <w:szCs w:val="32"/>
        </w:rPr>
        <w:t>财政代编预算资金</w:t>
      </w:r>
      <w:r>
        <w:rPr>
          <w:rFonts w:hint="eastAsia" w:ascii="Times New Roman" w:hAnsi="Times New Roman" w:eastAsia="仿宋_GB2312" w:cs="Times New Roman"/>
          <w:sz w:val="32"/>
          <w:szCs w:val="32"/>
          <w:lang w:eastAsia="zh-CN"/>
        </w:rPr>
        <w:t>按法定要求及时下达</w:t>
      </w:r>
      <w:r>
        <w:rPr>
          <w:rFonts w:hint="eastAsia" w:ascii="Times New Roman" w:hAnsi="Times New Roman" w:eastAsia="仿宋_GB2312" w:cs="Times New Roman"/>
          <w:sz w:val="32"/>
          <w:szCs w:val="32"/>
          <w:lang w:val="en-US" w:eastAsia="zh-CN"/>
        </w:rPr>
        <w:t>，截至</w:t>
      </w:r>
      <w:r>
        <w:rPr>
          <w:rFonts w:hint="default" w:ascii="Times New Roman" w:hAnsi="Times New Roman" w:eastAsia="仿宋_GB2312" w:cs="Times New Roman"/>
          <w:sz w:val="32"/>
          <w:szCs w:val="32"/>
        </w:rPr>
        <w:t>9月30日</w:t>
      </w:r>
      <w:r>
        <w:rPr>
          <w:rFonts w:hint="eastAsia" w:ascii="Times New Roman" w:hAnsi="Times New Roman" w:eastAsia="仿宋_GB2312" w:cs="Times New Roman"/>
          <w:sz w:val="32"/>
          <w:szCs w:val="32"/>
          <w:lang w:eastAsia="zh-CN"/>
        </w:rPr>
        <w:t>仍未</w:t>
      </w:r>
      <w:r>
        <w:rPr>
          <w:rFonts w:hint="default" w:ascii="Times New Roman" w:hAnsi="Times New Roman" w:eastAsia="仿宋_GB2312" w:cs="Times New Roman"/>
          <w:sz w:val="32"/>
          <w:szCs w:val="32"/>
        </w:rPr>
        <w:t>下达完毕</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，一律收回</w:t>
      </w:r>
      <w:r>
        <w:rPr>
          <w:rFonts w:hint="eastAsia" w:ascii="Times New Roman" w:hAnsi="Times New Roman" w:eastAsia="仿宋_GB2312" w:cs="Times New Roman"/>
          <w:sz w:val="32"/>
          <w:szCs w:val="32"/>
          <w:lang w:eastAsia="zh-CN"/>
        </w:rPr>
        <w:t>预算统筹使用</w:t>
      </w:r>
      <w:r>
        <w:rPr>
          <w:rFonts w:eastAsia="仿宋_GB2312"/>
          <w:sz w:val="32"/>
          <w:szCs w:val="32"/>
        </w:rPr>
        <w:t>。加快部门预算资金拨付进度</w:t>
      </w:r>
      <w:r>
        <w:rPr>
          <w:rFonts w:hint="eastAsia" w:eastAsia="仿宋_GB2312"/>
          <w:sz w:val="32"/>
          <w:szCs w:val="32"/>
          <w:lang w:eastAsia="zh-CN"/>
        </w:rPr>
        <w:t>，</w:t>
      </w:r>
      <w:r>
        <w:rPr>
          <w:rFonts w:hint="eastAsia" w:eastAsia="仿宋_GB2312"/>
          <w:sz w:val="32"/>
          <w:szCs w:val="32"/>
        </w:rPr>
        <w:t>全年部门整体支出进度力争达到95%</w:t>
      </w:r>
      <w:r>
        <w:rPr>
          <w:rFonts w:eastAsia="仿宋_GB2312"/>
          <w:sz w:val="32"/>
          <w:szCs w:val="32"/>
        </w:rPr>
        <w:t>。支出进度结果纳入部门</w:t>
      </w:r>
      <w:r>
        <w:rPr>
          <w:rFonts w:hint="eastAsia" w:eastAsia="仿宋_GB2312"/>
          <w:sz w:val="32"/>
          <w:szCs w:val="32"/>
          <w:lang w:eastAsia="zh-CN"/>
        </w:rPr>
        <w:t>预算管理</w:t>
      </w:r>
      <w:r>
        <w:rPr>
          <w:rFonts w:eastAsia="仿宋_GB2312"/>
          <w:sz w:val="32"/>
          <w:szCs w:val="32"/>
        </w:rPr>
        <w:t>绩效评价，</w:t>
      </w:r>
      <w:r>
        <w:rPr>
          <w:rFonts w:hint="eastAsia" w:eastAsia="仿宋_GB2312"/>
          <w:sz w:val="32"/>
          <w:szCs w:val="32"/>
        </w:rPr>
        <w:t>评价结果实行全面通报，并与下年度预算安排挂钩</w:t>
      </w:r>
      <w:r>
        <w:rPr>
          <w:rFonts w:eastAsia="仿宋_GB2312"/>
          <w:sz w:val="32"/>
          <w:szCs w:val="32"/>
        </w:rPr>
        <w:t>。年度执行完毕，部门</w:t>
      </w:r>
      <w:r>
        <w:rPr>
          <w:rFonts w:hint="eastAsia" w:eastAsia="仿宋_GB2312"/>
          <w:sz w:val="32"/>
          <w:szCs w:val="32"/>
          <w:lang w:eastAsia="zh-CN"/>
        </w:rPr>
        <w:t>基本支出</w:t>
      </w:r>
      <w:r>
        <w:rPr>
          <w:rFonts w:eastAsia="仿宋_GB2312"/>
          <w:sz w:val="32"/>
          <w:szCs w:val="32"/>
        </w:rPr>
        <w:t>、“三公”经费以及结转一年以上的</w:t>
      </w:r>
      <w:r>
        <w:rPr>
          <w:rFonts w:hint="eastAsia" w:eastAsia="仿宋_GB2312"/>
          <w:sz w:val="32"/>
          <w:szCs w:val="32"/>
          <w:lang w:eastAsia="zh-CN"/>
        </w:rPr>
        <w:t>项目支出</w:t>
      </w:r>
      <w:r>
        <w:rPr>
          <w:rFonts w:eastAsia="仿宋_GB2312"/>
          <w:sz w:val="32"/>
          <w:szCs w:val="32"/>
        </w:rPr>
        <w:t>作为结余资金管理，一律收回财政。</w:t>
      </w:r>
    </w:p>
    <w:p w14:paraId="4933A81C">
      <w:pPr>
        <w:keepNext w:val="0"/>
        <w:keepLines w:val="0"/>
        <w:pageBreakBefore w:val="0"/>
        <w:kinsoku/>
        <w:wordWrap/>
        <w:overflowPunct w:val="0"/>
        <w:topLinePunct w:val="0"/>
        <w:autoSpaceDE/>
        <w:autoSpaceDN/>
        <w:bidi w:val="0"/>
        <w:adjustRightInd/>
        <w:snapToGrid/>
        <w:spacing w:line="600" w:lineRule="exact"/>
        <w:ind w:firstLine="636" w:firstLineChars="200"/>
        <w:textAlignment w:val="auto"/>
        <w:rPr>
          <w:rFonts w:hint="eastAsia" w:eastAsia="仿宋_GB2312"/>
          <w:kern w:val="0"/>
          <w:sz w:val="32"/>
          <w:szCs w:val="32"/>
        </w:rPr>
      </w:pPr>
      <w:r>
        <w:rPr>
          <w:rFonts w:hint="eastAsia" w:eastAsia="黑体"/>
          <w:sz w:val="32"/>
          <w:szCs w:val="32"/>
          <w:lang w:eastAsia="zh-CN"/>
        </w:rPr>
        <w:t>五</w:t>
      </w:r>
      <w:r>
        <w:rPr>
          <w:rFonts w:eastAsia="黑体"/>
          <w:sz w:val="32"/>
          <w:szCs w:val="32"/>
        </w:rPr>
        <w:t>、严格资金拨付</w:t>
      </w:r>
      <w:r>
        <w:rPr>
          <w:rFonts w:hint="eastAsia" w:eastAsia="黑体"/>
          <w:sz w:val="32"/>
          <w:szCs w:val="32"/>
          <w:lang w:eastAsia="zh-CN"/>
        </w:rPr>
        <w:t>管理</w:t>
      </w:r>
      <w:r>
        <w:rPr>
          <w:rFonts w:eastAsia="黑体"/>
          <w:sz w:val="32"/>
          <w:szCs w:val="32"/>
        </w:rPr>
        <w:t>。</w:t>
      </w:r>
      <w:r>
        <w:rPr>
          <w:rFonts w:eastAsia="仿宋_GB2312"/>
          <w:sz w:val="32"/>
          <w:szCs w:val="32"/>
        </w:rPr>
        <w:t>省级支出要直接将资金拨付给实施单位或商品和服务的提供者，不得将资金</w:t>
      </w:r>
      <w:r>
        <w:rPr>
          <w:rFonts w:hint="eastAsia" w:eastAsia="仿宋_GB2312"/>
          <w:sz w:val="32"/>
          <w:szCs w:val="32"/>
        </w:rPr>
        <w:t>违规</w:t>
      </w:r>
      <w:r>
        <w:rPr>
          <w:rFonts w:eastAsia="仿宋_GB2312"/>
          <w:sz w:val="32"/>
          <w:szCs w:val="32"/>
        </w:rPr>
        <w:t>拨付到单位实有资金账户，不得由其他部门或单位转拨。经批准设立的特设账户，不得违规进行省级专项资金的核算，不得通过零余额账户将省级专项资金转拨到该账户。</w:t>
      </w:r>
      <w:r>
        <w:rPr>
          <w:rFonts w:eastAsia="仿宋_GB2312"/>
          <w:kern w:val="0"/>
          <w:sz w:val="32"/>
          <w:szCs w:val="32"/>
        </w:rPr>
        <w:t>对市县转移支付应将资金指标直接下达市县，不得由其他部门</w:t>
      </w:r>
      <w:r>
        <w:rPr>
          <w:rFonts w:hint="eastAsia" w:eastAsia="仿宋_GB2312"/>
          <w:kern w:val="0"/>
          <w:sz w:val="32"/>
          <w:szCs w:val="32"/>
          <w:lang w:eastAsia="zh-CN"/>
        </w:rPr>
        <w:t>、</w:t>
      </w:r>
      <w:r>
        <w:rPr>
          <w:rFonts w:eastAsia="仿宋_GB2312"/>
          <w:kern w:val="0"/>
          <w:sz w:val="32"/>
          <w:szCs w:val="32"/>
        </w:rPr>
        <w:t>单位</w:t>
      </w:r>
      <w:r>
        <w:rPr>
          <w:rFonts w:hint="eastAsia" w:eastAsia="仿宋_GB2312"/>
          <w:kern w:val="0"/>
          <w:sz w:val="32"/>
          <w:szCs w:val="32"/>
          <w:lang w:eastAsia="zh-CN"/>
        </w:rPr>
        <w:t>或平台公司</w:t>
      </w:r>
      <w:r>
        <w:rPr>
          <w:rFonts w:eastAsia="仿宋_GB2312"/>
          <w:kern w:val="0"/>
          <w:sz w:val="32"/>
          <w:szCs w:val="32"/>
        </w:rPr>
        <w:t>转拨。</w:t>
      </w:r>
      <w:r>
        <w:rPr>
          <w:rFonts w:hint="eastAsia" w:eastAsia="仿宋_GB2312"/>
          <w:kern w:val="0"/>
          <w:sz w:val="32"/>
          <w:szCs w:val="32"/>
        </w:rPr>
        <w:t>行政机关、参公管理事业单位和公益一类事业单位的单位资金支付实行预算指标和账户余额双控管理，参照国库集中支付流程控制预算执行。</w:t>
      </w:r>
    </w:p>
    <w:p w14:paraId="2BA35397">
      <w:pPr>
        <w:keepNext w:val="0"/>
        <w:keepLines w:val="0"/>
        <w:pageBreakBefore w:val="0"/>
        <w:kinsoku/>
        <w:wordWrap/>
        <w:topLinePunct w:val="0"/>
        <w:autoSpaceDE/>
        <w:autoSpaceDN/>
        <w:bidi w:val="0"/>
        <w:adjustRightInd/>
        <w:snapToGrid/>
        <w:spacing w:line="600" w:lineRule="exact"/>
        <w:ind w:firstLine="636" w:firstLineChars="200"/>
        <w:textAlignment w:val="auto"/>
        <w:rPr>
          <w:rFonts w:eastAsia="仿宋_GB2312"/>
          <w:sz w:val="32"/>
          <w:szCs w:val="32"/>
        </w:rPr>
      </w:pPr>
      <w:r>
        <w:rPr>
          <w:rFonts w:hint="eastAsia" w:eastAsia="黑体"/>
          <w:sz w:val="32"/>
          <w:szCs w:val="32"/>
          <w:lang w:eastAsia="zh-CN"/>
        </w:rPr>
        <w:t>六</w:t>
      </w:r>
      <w:r>
        <w:rPr>
          <w:rFonts w:eastAsia="黑体"/>
          <w:sz w:val="32"/>
          <w:szCs w:val="32"/>
        </w:rPr>
        <w:t>、做好预算公开工作。</w:t>
      </w:r>
      <w:r>
        <w:rPr>
          <w:rFonts w:eastAsia="仿宋_GB2312"/>
          <w:sz w:val="32"/>
          <w:szCs w:val="32"/>
        </w:rPr>
        <w:t>按照预算公开相关要求，除涉密信息外，部门</w:t>
      </w:r>
      <w:r>
        <w:rPr>
          <w:rFonts w:hint="eastAsia" w:eastAsia="仿宋_GB2312"/>
          <w:sz w:val="32"/>
          <w:szCs w:val="32"/>
        </w:rPr>
        <w:t>和单位</w:t>
      </w:r>
      <w:r>
        <w:rPr>
          <w:rFonts w:eastAsia="仿宋_GB2312"/>
          <w:sz w:val="32"/>
          <w:szCs w:val="32"/>
        </w:rPr>
        <w:t>预算</w:t>
      </w:r>
      <w:r>
        <w:rPr>
          <w:rFonts w:hint="eastAsia" w:eastAsia="仿宋_GB2312"/>
          <w:sz w:val="32"/>
          <w:szCs w:val="32"/>
        </w:rPr>
        <w:t>、</w:t>
      </w:r>
      <w:r>
        <w:rPr>
          <w:rFonts w:eastAsia="仿宋_GB2312"/>
          <w:sz w:val="32"/>
          <w:szCs w:val="32"/>
        </w:rPr>
        <w:t>“三公”经费预算</w:t>
      </w:r>
      <w:r>
        <w:rPr>
          <w:rFonts w:hint="eastAsia" w:eastAsia="仿宋_GB2312"/>
          <w:sz w:val="32"/>
          <w:szCs w:val="32"/>
        </w:rPr>
        <w:t>、一般性支出情况等</w:t>
      </w:r>
      <w:r>
        <w:rPr>
          <w:rFonts w:eastAsia="仿宋_GB2312"/>
          <w:sz w:val="32"/>
          <w:szCs w:val="32"/>
        </w:rPr>
        <w:t>要在批复后20日内</w:t>
      </w:r>
      <w:r>
        <w:rPr>
          <w:rFonts w:hint="eastAsia" w:eastAsia="仿宋_GB2312"/>
          <w:sz w:val="32"/>
          <w:szCs w:val="32"/>
          <w:lang w:eastAsia="zh-CN"/>
        </w:rPr>
        <w:t>公开。其中，</w:t>
      </w:r>
      <w:r>
        <w:rPr>
          <w:rFonts w:eastAsia="仿宋_GB2312"/>
          <w:sz w:val="32"/>
          <w:szCs w:val="32"/>
        </w:rPr>
        <w:t>部门预算、单位预算分别在本部门、本单位门户网站公开，没有门户网站的单位在部门网站上公开，所有部门预算和单位预算还应在省预决算公开平台集中公开，并保持长期公开状态。除涉密信息外，省级专项资金管理办法、申报通知、评审结果、分配结果和绩效评价报告在文件印发后三个工作日内及时公开，其他</w:t>
      </w:r>
      <w:r>
        <w:rPr>
          <w:rFonts w:hint="eastAsia" w:eastAsia="仿宋_GB2312"/>
          <w:sz w:val="32"/>
          <w:szCs w:val="32"/>
          <w:lang w:eastAsia="zh-CN"/>
        </w:rPr>
        <w:t>非涉密</w:t>
      </w:r>
      <w:r>
        <w:rPr>
          <w:rFonts w:eastAsia="仿宋_GB2312"/>
          <w:sz w:val="32"/>
          <w:szCs w:val="32"/>
        </w:rPr>
        <w:t>资金文件</w:t>
      </w:r>
      <w:r>
        <w:rPr>
          <w:rFonts w:hint="eastAsia" w:eastAsia="仿宋_GB2312"/>
          <w:sz w:val="32"/>
          <w:szCs w:val="32"/>
          <w:lang w:eastAsia="zh-CN"/>
        </w:rPr>
        <w:t>按要求</w:t>
      </w:r>
      <w:r>
        <w:rPr>
          <w:rFonts w:eastAsia="仿宋_GB2312"/>
          <w:sz w:val="32"/>
          <w:szCs w:val="32"/>
        </w:rPr>
        <w:t>公开。</w:t>
      </w:r>
    </w:p>
    <w:p w14:paraId="0EC3D0D2">
      <w:pPr>
        <w:keepNext w:val="0"/>
        <w:keepLines w:val="0"/>
        <w:pageBreakBefore w:val="0"/>
        <w:kinsoku/>
        <w:wordWrap/>
        <w:topLinePunct w:val="0"/>
        <w:autoSpaceDE/>
        <w:autoSpaceDN/>
        <w:bidi w:val="0"/>
        <w:adjustRightInd/>
        <w:snapToGrid/>
        <w:spacing w:line="600" w:lineRule="exact"/>
        <w:ind w:firstLine="636" w:firstLineChars="200"/>
        <w:textAlignment w:val="auto"/>
        <w:rPr>
          <w:rFonts w:eastAsia="仿宋_GB2312"/>
          <w:sz w:val="32"/>
          <w:szCs w:val="32"/>
        </w:rPr>
      </w:pPr>
      <w:r>
        <w:rPr>
          <w:rFonts w:hint="eastAsia" w:eastAsia="黑体"/>
          <w:kern w:val="0"/>
          <w:sz w:val="32"/>
          <w:szCs w:val="32"/>
          <w:lang w:eastAsia="zh-CN"/>
        </w:rPr>
        <w:t>七</w:t>
      </w:r>
      <w:r>
        <w:rPr>
          <w:rFonts w:eastAsia="黑体"/>
          <w:kern w:val="0"/>
          <w:sz w:val="32"/>
          <w:szCs w:val="32"/>
        </w:rPr>
        <w:t>、全面实施绩效管理。</w:t>
      </w:r>
      <w:r>
        <w:rPr>
          <w:rFonts w:eastAsia="仿宋_GB2312"/>
          <w:sz w:val="32"/>
          <w:szCs w:val="32"/>
        </w:rPr>
        <w:t>将预算绩效理念贯穿预算编制及执行全过程，做好年度执行中的绩效监控，及时纠正偏差，充分发挥财政资金作用，更好推动政策落地见效。预算执行中，省财政厅将会同省直部门对专项资金开展绩效评价，评价结果作为预算安排和调整的重要依据。</w:t>
      </w:r>
    </w:p>
    <w:p w14:paraId="6B3C29F5">
      <w:pPr>
        <w:keepNext w:val="0"/>
        <w:keepLines w:val="0"/>
        <w:pageBreakBefore w:val="0"/>
        <w:kinsoku/>
        <w:wordWrap/>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color w:val="auto"/>
          <w:spacing w:val="-6"/>
          <w:sz w:val="32"/>
          <w:szCs w:val="32"/>
          <w:lang w:eastAsia="zh-CN"/>
        </w:rPr>
      </w:pPr>
      <w:r>
        <w:rPr>
          <w:rFonts w:hint="eastAsia" w:ascii="Times New Roman" w:hAnsi="Times New Roman" w:eastAsia="黑体" w:cs="Times New Roman"/>
          <w:kern w:val="0"/>
          <w:sz w:val="32"/>
          <w:szCs w:val="32"/>
          <w:lang w:eastAsia="zh-CN"/>
        </w:rPr>
        <w:t>八、加强资产管理。</w:t>
      </w:r>
      <w:r>
        <w:rPr>
          <w:rFonts w:hint="eastAsia" w:ascii="Times New Roman" w:hAnsi="Times New Roman" w:eastAsia="仿宋_GB2312" w:cs="Times New Roman"/>
          <w:sz w:val="32"/>
          <w:szCs w:val="32"/>
          <w:lang w:eastAsia="zh-CN"/>
        </w:rPr>
        <w:t>落实部门（单位）主体责任，强化资产管理制度执行。</w:t>
      </w:r>
      <w:r>
        <w:rPr>
          <w:rFonts w:hint="eastAsia" w:ascii="Times New Roman" w:hAnsi="Times New Roman" w:eastAsia="仿宋_GB2312" w:cs="Times New Roman"/>
          <w:color w:val="auto"/>
          <w:sz w:val="32"/>
          <w:szCs w:val="32"/>
          <w:lang w:eastAsia="zh-CN"/>
        </w:rPr>
        <w:t>严格资产配置，严禁违规超标准配置资产，</w:t>
      </w:r>
      <w:r>
        <w:rPr>
          <w:rFonts w:hint="default" w:ascii="Times New Roman" w:hAnsi="Times New Roman" w:eastAsia="仿宋_GB2312" w:cs="Times New Roman"/>
          <w:color w:val="auto"/>
          <w:spacing w:val="-6"/>
          <w:sz w:val="32"/>
          <w:szCs w:val="32"/>
        </w:rPr>
        <w:t>没有配置标准的，</w:t>
      </w:r>
      <w:r>
        <w:rPr>
          <w:rFonts w:hint="eastAsia" w:ascii="Times New Roman" w:hAnsi="Times New Roman" w:eastAsia="仿宋_GB2312" w:cs="Times New Roman"/>
          <w:color w:val="auto"/>
          <w:spacing w:val="-6"/>
          <w:sz w:val="32"/>
          <w:szCs w:val="32"/>
          <w:lang w:eastAsia="zh-CN"/>
        </w:rPr>
        <w:t>要</w:t>
      </w:r>
      <w:r>
        <w:rPr>
          <w:rFonts w:hint="default" w:ascii="Times New Roman" w:hAnsi="Times New Roman" w:eastAsia="仿宋_GB2312" w:cs="Times New Roman"/>
          <w:color w:val="auto"/>
          <w:spacing w:val="-6"/>
          <w:sz w:val="32"/>
          <w:szCs w:val="32"/>
        </w:rPr>
        <w:t>结合本单位实际情况和存量</w:t>
      </w:r>
      <w:r>
        <w:rPr>
          <w:rFonts w:hint="eastAsia" w:ascii="Times New Roman" w:hAnsi="Times New Roman" w:eastAsia="仿宋_GB2312" w:cs="Times New Roman"/>
          <w:color w:val="auto"/>
          <w:spacing w:val="-6"/>
          <w:sz w:val="32"/>
          <w:szCs w:val="32"/>
          <w:lang w:eastAsia="zh-CN"/>
        </w:rPr>
        <w:t>资产</w:t>
      </w:r>
      <w:r>
        <w:rPr>
          <w:rFonts w:hint="default" w:ascii="Times New Roman" w:hAnsi="Times New Roman" w:eastAsia="仿宋_GB2312" w:cs="Times New Roman"/>
          <w:color w:val="auto"/>
          <w:spacing w:val="-6"/>
          <w:sz w:val="32"/>
          <w:szCs w:val="32"/>
        </w:rPr>
        <w:t>状况，采取调剂、租赁、购置等方式配置，厉行节约、反对浪费。</w:t>
      </w:r>
      <w:r>
        <w:rPr>
          <w:rFonts w:hint="eastAsia" w:ascii="Times New Roman" w:hAnsi="Times New Roman" w:eastAsia="仿宋_GB2312" w:cs="Times New Roman"/>
          <w:color w:val="auto"/>
          <w:spacing w:val="-6"/>
          <w:sz w:val="32"/>
          <w:szCs w:val="32"/>
          <w:lang w:eastAsia="zh-CN"/>
        </w:rPr>
        <w:t>加大盘活力度，摸清存量资产底数，推动资产共享共用，提高资产使用效益。</w:t>
      </w:r>
    </w:p>
    <w:p w14:paraId="286EF852">
      <w:pPr>
        <w:keepNext w:val="0"/>
        <w:keepLines w:val="0"/>
        <w:pageBreakBefore w:val="0"/>
        <w:kinsoku/>
        <w:wordWrap/>
        <w:topLinePunct w:val="0"/>
        <w:autoSpaceDE/>
        <w:autoSpaceDN/>
        <w:bidi w:val="0"/>
        <w:adjustRightInd/>
        <w:snapToGrid/>
        <w:spacing w:line="600" w:lineRule="exact"/>
        <w:ind w:firstLine="636" w:firstLineChars="200"/>
        <w:textAlignment w:val="auto"/>
        <w:rPr>
          <w:rFonts w:eastAsia="仿宋_GB2312"/>
          <w:sz w:val="32"/>
          <w:szCs w:val="32"/>
        </w:rPr>
      </w:pPr>
      <w:r>
        <w:rPr>
          <w:rFonts w:hint="eastAsia" w:eastAsia="黑体"/>
          <w:kern w:val="0"/>
          <w:sz w:val="32"/>
          <w:szCs w:val="32"/>
          <w:lang w:eastAsia="zh-CN"/>
        </w:rPr>
        <w:t>九</w:t>
      </w:r>
      <w:r>
        <w:rPr>
          <w:rFonts w:eastAsia="黑体"/>
          <w:kern w:val="0"/>
          <w:sz w:val="32"/>
          <w:szCs w:val="32"/>
        </w:rPr>
        <w:t>、依法</w:t>
      </w:r>
      <w:r>
        <w:rPr>
          <w:rFonts w:hint="eastAsia" w:eastAsia="黑体"/>
          <w:kern w:val="0"/>
          <w:sz w:val="32"/>
          <w:szCs w:val="32"/>
          <w:lang w:eastAsia="zh-CN"/>
        </w:rPr>
        <w:t>开展</w:t>
      </w:r>
      <w:r>
        <w:rPr>
          <w:rFonts w:eastAsia="黑体"/>
          <w:kern w:val="0"/>
          <w:sz w:val="32"/>
          <w:szCs w:val="32"/>
        </w:rPr>
        <w:t>政府采购。</w:t>
      </w:r>
      <w:r>
        <w:rPr>
          <w:rFonts w:eastAsia="仿宋_GB2312"/>
          <w:kern w:val="0"/>
          <w:sz w:val="32"/>
          <w:szCs w:val="32"/>
        </w:rPr>
        <w:t>严格执行已批复的政府采购预算，</w:t>
      </w:r>
      <w:r>
        <w:rPr>
          <w:rFonts w:eastAsia="仿宋_GB2312"/>
          <w:sz w:val="32"/>
          <w:szCs w:val="32"/>
        </w:rPr>
        <w:t>对已列入年初部门预算的政府采购项目，要及时申报采购计划，尽快完成政府采购程序。年中需要调整或追加的，在财政一体化系统中相应调整政府采购预算，审核通过后执行。</w:t>
      </w:r>
    </w:p>
    <w:p w14:paraId="76C865D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36" w:firstLineChars="200"/>
        <w:jc w:val="both"/>
        <w:textAlignment w:val="auto"/>
        <w:rPr>
          <w:rFonts w:hint="default" w:ascii="Times New Roman" w:hAnsi="Times New Roman" w:eastAsia="仿宋_GB2312" w:cs="Times New Roman"/>
          <w:color w:val="auto"/>
          <w:sz w:val="32"/>
          <w:szCs w:val="32"/>
          <w:lang w:val="en-US" w:eastAsia="zh-CN"/>
        </w:rPr>
      </w:pPr>
      <w:r>
        <w:rPr>
          <w:rFonts w:hint="eastAsia" w:eastAsia="黑体"/>
          <w:sz w:val="32"/>
          <w:szCs w:val="32"/>
          <w:lang w:eastAsia="zh-CN"/>
        </w:rPr>
        <w:t>十</w:t>
      </w:r>
      <w:r>
        <w:rPr>
          <w:rFonts w:eastAsia="黑体"/>
          <w:sz w:val="32"/>
          <w:szCs w:val="32"/>
        </w:rPr>
        <w:t>、</w:t>
      </w:r>
      <w:r>
        <w:rPr>
          <w:rFonts w:hint="eastAsia" w:eastAsia="黑体"/>
          <w:sz w:val="32"/>
          <w:szCs w:val="32"/>
          <w:lang w:eastAsia="zh-CN"/>
        </w:rPr>
        <w:t>规范</w:t>
      </w:r>
      <w:r>
        <w:rPr>
          <w:rFonts w:eastAsia="黑体"/>
          <w:sz w:val="32"/>
          <w:szCs w:val="32"/>
        </w:rPr>
        <w:t>政府购买服务</w:t>
      </w:r>
      <w:r>
        <w:rPr>
          <w:rFonts w:hint="eastAsia" w:eastAsia="黑体"/>
          <w:sz w:val="32"/>
          <w:szCs w:val="32"/>
          <w:lang w:eastAsia="zh-CN"/>
        </w:rPr>
        <w:t>行为</w:t>
      </w:r>
      <w:r>
        <w:rPr>
          <w:rFonts w:eastAsia="黑体"/>
          <w:sz w:val="32"/>
          <w:szCs w:val="32"/>
        </w:rPr>
        <w:t>。</w:t>
      </w:r>
      <w:r>
        <w:rPr>
          <w:rFonts w:hint="default" w:ascii="Times New Roman" w:hAnsi="Times New Roman" w:eastAsia="仿宋_GB2312" w:cs="Times New Roman"/>
          <w:color w:val="auto"/>
          <w:sz w:val="32"/>
          <w:szCs w:val="32"/>
          <w:highlight w:val="none"/>
          <w:lang w:val="en-US" w:eastAsia="zh-CN"/>
        </w:rPr>
        <w:t>政府购买服务严格限制在属于政府职责范围</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适合采取市场化方式提供的事项，</w:t>
      </w:r>
      <w:r>
        <w:rPr>
          <w:rFonts w:hint="default" w:ascii="Times New Roman" w:hAnsi="Times New Roman" w:eastAsia="仿宋_GB2312" w:cs="Times New Roman"/>
          <w:color w:val="auto"/>
          <w:sz w:val="32"/>
          <w:szCs w:val="32"/>
          <w:highlight w:val="none"/>
          <w:lang w:eastAsia="zh-CN"/>
        </w:rPr>
        <w:t>不得将</w:t>
      </w:r>
      <w:r>
        <w:rPr>
          <w:rFonts w:hint="default" w:ascii="Times New Roman" w:hAnsi="Times New Roman" w:eastAsia="仿宋_GB2312" w:cs="Times New Roman"/>
          <w:color w:val="auto"/>
          <w:sz w:val="32"/>
          <w:szCs w:val="32"/>
          <w:highlight w:val="none"/>
        </w:rPr>
        <w:t>应由</w:t>
      </w:r>
      <w:r>
        <w:rPr>
          <w:rFonts w:hint="default" w:ascii="Times New Roman" w:hAnsi="Times New Roman" w:eastAsia="仿宋_GB2312" w:cs="Times New Roman"/>
          <w:color w:val="auto"/>
          <w:sz w:val="32"/>
          <w:szCs w:val="32"/>
          <w:highlight w:val="none"/>
          <w:lang w:eastAsia="zh-CN"/>
        </w:rPr>
        <w:t>部门</w:t>
      </w:r>
      <w:r>
        <w:rPr>
          <w:rFonts w:hint="default" w:ascii="Times New Roman" w:hAnsi="Times New Roman" w:eastAsia="仿宋_GB2312" w:cs="Times New Roman"/>
          <w:color w:val="auto"/>
          <w:sz w:val="32"/>
          <w:szCs w:val="32"/>
          <w:highlight w:val="none"/>
        </w:rPr>
        <w:t>直接履职的事项</w:t>
      </w:r>
      <w:r>
        <w:rPr>
          <w:rFonts w:hint="default" w:ascii="Times New Roman" w:hAnsi="Times New Roman" w:eastAsia="仿宋_GB2312" w:cs="Times New Roman"/>
          <w:color w:val="auto"/>
          <w:sz w:val="32"/>
          <w:szCs w:val="32"/>
          <w:highlight w:val="none"/>
          <w:lang w:eastAsia="zh-CN"/>
        </w:rPr>
        <w:t>采取政府购买服务方式实施，</w:t>
      </w:r>
      <w:r>
        <w:rPr>
          <w:rFonts w:hint="default" w:ascii="Times New Roman" w:hAnsi="Times New Roman" w:eastAsia="仿宋_GB2312" w:cs="Times New Roman"/>
          <w:color w:val="auto"/>
          <w:sz w:val="32"/>
          <w:szCs w:val="32"/>
          <w:highlight w:val="none"/>
          <w:lang w:val="en-US" w:eastAsia="zh-CN"/>
        </w:rPr>
        <w:t>不得将人员招（聘）用和劳务派遣用工等事项纳入政府购买服务范围变相用工。</w:t>
      </w:r>
      <w:r>
        <w:rPr>
          <w:rFonts w:hint="default" w:ascii="Times New Roman" w:hAnsi="Times New Roman" w:eastAsia="仿宋_GB2312" w:cs="Times New Roman"/>
          <w:color w:val="auto"/>
          <w:sz w:val="32"/>
          <w:szCs w:val="32"/>
          <w:lang w:eastAsia="zh-CN"/>
        </w:rPr>
        <w:t>加强政府购买服务需求管理，</w:t>
      </w:r>
      <w:r>
        <w:rPr>
          <w:rFonts w:hint="default" w:ascii="Times New Roman" w:hAnsi="Times New Roman" w:eastAsia="仿宋_GB2312" w:cs="Times New Roman"/>
          <w:color w:val="auto"/>
          <w:sz w:val="32"/>
          <w:szCs w:val="32"/>
          <w:lang w:val="en-US" w:eastAsia="zh-CN"/>
        </w:rPr>
        <w:t>购买主体要合理确定购买服务需求，不得一边购买服务、一边养人办事。</w:t>
      </w:r>
    </w:p>
    <w:p w14:paraId="14E0D322">
      <w:pPr>
        <w:keepNext w:val="0"/>
        <w:keepLines w:val="0"/>
        <w:pageBreakBefore w:val="0"/>
        <w:kinsoku/>
        <w:wordWrap/>
        <w:overflowPunct w:val="0"/>
        <w:topLinePunct w:val="0"/>
        <w:autoSpaceDE/>
        <w:autoSpaceDN/>
        <w:bidi w:val="0"/>
        <w:adjustRightInd/>
        <w:snapToGrid/>
        <w:spacing w:line="600" w:lineRule="exact"/>
        <w:ind w:firstLine="636" w:firstLineChars="200"/>
        <w:textAlignment w:val="auto"/>
        <w:rPr>
          <w:rFonts w:eastAsia="仿宋_GB2312"/>
          <w:sz w:val="32"/>
          <w:szCs w:val="32"/>
        </w:rPr>
      </w:pPr>
      <w:r>
        <w:rPr>
          <w:rFonts w:hint="eastAsia" w:eastAsia="黑体"/>
          <w:bCs/>
          <w:sz w:val="32"/>
          <w:szCs w:val="32"/>
        </w:rPr>
        <w:t>十</w:t>
      </w:r>
      <w:r>
        <w:rPr>
          <w:rFonts w:hint="eastAsia" w:eastAsia="黑体"/>
          <w:bCs/>
          <w:sz w:val="32"/>
          <w:szCs w:val="32"/>
          <w:lang w:eastAsia="zh-CN"/>
        </w:rPr>
        <w:t>一</w:t>
      </w:r>
      <w:r>
        <w:rPr>
          <w:rFonts w:eastAsia="黑体"/>
          <w:bCs/>
          <w:sz w:val="32"/>
          <w:szCs w:val="32"/>
        </w:rPr>
        <w:t>、</w:t>
      </w:r>
      <w:r>
        <w:rPr>
          <w:rFonts w:hint="eastAsia" w:eastAsia="黑体"/>
          <w:bCs/>
          <w:sz w:val="32"/>
          <w:szCs w:val="32"/>
          <w:lang w:eastAsia="zh-CN"/>
        </w:rPr>
        <w:t>严肃财经纪律</w:t>
      </w:r>
      <w:r>
        <w:rPr>
          <w:rFonts w:hint="eastAsia" w:eastAsia="黑体"/>
          <w:bCs/>
          <w:sz w:val="32"/>
          <w:szCs w:val="32"/>
        </w:rPr>
        <w:t>。</w:t>
      </w:r>
      <w:r>
        <w:rPr>
          <w:rFonts w:eastAsia="仿宋_GB2312"/>
          <w:sz w:val="32"/>
          <w:szCs w:val="32"/>
        </w:rPr>
        <w:t>严格遵守各项法律法规、财经纪律和财务管理制度，建立健全公务回避机制、集体决策机制、责任追究机制，完善内控制度，确保资金分配程序和分配结果的合规性。积极配合人大开展预算审查，及时向人大代表通报预算编制情况，自觉接受人大监督。加大审计监督查出问题整改力度，在剖析原因、立行立改的基础上，积极采取措施从管理源头和体制机制解决问题。</w:t>
      </w:r>
    </w:p>
    <w:p w14:paraId="5E5DF65F">
      <w:pPr>
        <w:keepNext w:val="0"/>
        <w:keepLines w:val="0"/>
        <w:pageBreakBefore w:val="0"/>
        <w:widowControl/>
        <w:kinsoku/>
        <w:wordWrap/>
        <w:topLinePunct w:val="0"/>
        <w:autoSpaceDE/>
        <w:autoSpaceDN/>
        <w:bidi w:val="0"/>
        <w:adjustRightInd/>
        <w:snapToGrid/>
        <w:spacing w:line="600" w:lineRule="exact"/>
        <w:ind w:firstLine="636" w:firstLineChars="200"/>
        <w:jc w:val="left"/>
        <w:textAlignment w:val="auto"/>
        <w:rPr>
          <w:rFonts w:eastAsia="仿宋_GB2312"/>
          <w:sz w:val="32"/>
          <w:szCs w:val="32"/>
        </w:rPr>
      </w:pPr>
      <w:r>
        <w:rPr>
          <w:rFonts w:eastAsia="仿宋_GB2312"/>
          <w:sz w:val="32"/>
          <w:szCs w:val="32"/>
        </w:rPr>
        <w:t>部门所属二级单位预算由你部门根据本文件规定统一进行批复，并在收文之日起15日内批复完毕。批复时，不得随意变动预算或在单位之间进行预算调整。</w:t>
      </w:r>
    </w:p>
    <w:p w14:paraId="322998D1">
      <w:pPr>
        <w:keepNext w:val="0"/>
        <w:keepLines w:val="0"/>
        <w:pageBreakBefore w:val="0"/>
        <w:kinsoku/>
        <w:wordWrap/>
        <w:topLinePunct w:val="0"/>
        <w:autoSpaceDE/>
        <w:autoSpaceDN/>
        <w:bidi w:val="0"/>
        <w:adjustRightInd/>
        <w:snapToGrid/>
        <w:spacing w:line="600" w:lineRule="exact"/>
        <w:ind w:firstLine="636" w:firstLineChars="200"/>
        <w:textAlignment w:val="auto"/>
        <w:rPr>
          <w:rFonts w:eastAsia="仿宋_GB2312"/>
          <w:sz w:val="32"/>
          <w:szCs w:val="32"/>
        </w:rPr>
      </w:pPr>
      <w:r>
        <w:rPr>
          <w:rFonts w:eastAsia="仿宋_GB2312"/>
          <w:sz w:val="32"/>
          <w:szCs w:val="32"/>
        </w:rPr>
        <w:t>附件：</w:t>
      </w:r>
    </w:p>
    <w:p w14:paraId="70259679">
      <w:pPr>
        <w:keepNext w:val="0"/>
        <w:keepLines w:val="0"/>
        <w:pageBreakBefore w:val="0"/>
        <w:kinsoku/>
        <w:wordWrap/>
        <w:topLinePunct w:val="0"/>
        <w:autoSpaceDE/>
        <w:autoSpaceDN/>
        <w:bidi w:val="0"/>
        <w:adjustRightInd/>
        <w:snapToGrid/>
        <w:spacing w:before="50" w:line="600" w:lineRule="exact"/>
        <w:ind w:firstLine="636" w:firstLineChars="200"/>
        <w:textAlignment w:val="auto"/>
        <w:rPr>
          <w:rFonts w:eastAsia="仿宋_GB2312"/>
          <w:sz w:val="32"/>
          <w:szCs w:val="32"/>
        </w:rPr>
      </w:pPr>
      <w:r>
        <w:rPr>
          <w:rFonts w:eastAsia="仿宋_GB2312"/>
          <w:sz w:val="32"/>
          <w:szCs w:val="32"/>
        </w:rPr>
        <w:t>1、</w:t>
      </w:r>
      <w:r>
        <w:rPr>
          <w:rFonts w:hint="eastAsia" w:eastAsia="仿宋_GB2312"/>
          <w:sz w:val="32"/>
          <w:szCs w:val="32"/>
          <w:lang w:eastAsia="zh-CN"/>
        </w:rPr>
        <w:t>2025年</w:t>
      </w:r>
      <w:r>
        <w:rPr>
          <w:rFonts w:eastAsia="仿宋_GB2312"/>
          <w:sz w:val="32"/>
          <w:szCs w:val="32"/>
        </w:rPr>
        <w:t>省级部门预算批复情况表</w:t>
      </w:r>
    </w:p>
    <w:p w14:paraId="05EAE417">
      <w:pPr>
        <w:keepNext w:val="0"/>
        <w:keepLines w:val="0"/>
        <w:pageBreakBefore w:val="0"/>
        <w:kinsoku/>
        <w:wordWrap/>
        <w:topLinePunct w:val="0"/>
        <w:autoSpaceDE/>
        <w:autoSpaceDN/>
        <w:bidi w:val="0"/>
        <w:adjustRightInd/>
        <w:snapToGrid/>
        <w:spacing w:before="50" w:line="600" w:lineRule="exact"/>
        <w:ind w:firstLine="636" w:firstLineChars="200"/>
        <w:textAlignment w:val="auto"/>
        <w:rPr>
          <w:rFonts w:eastAsia="仿宋_GB2312"/>
          <w:sz w:val="32"/>
          <w:szCs w:val="32"/>
        </w:rPr>
      </w:pPr>
      <w:r>
        <w:rPr>
          <w:rFonts w:eastAsia="仿宋_GB2312"/>
          <w:sz w:val="32"/>
          <w:szCs w:val="32"/>
        </w:rPr>
        <w:t>2、</w:t>
      </w:r>
      <w:r>
        <w:rPr>
          <w:rFonts w:hint="eastAsia" w:eastAsia="仿宋_GB2312"/>
          <w:sz w:val="32"/>
          <w:szCs w:val="32"/>
          <w:lang w:eastAsia="zh-CN"/>
        </w:rPr>
        <w:t>2025年</w:t>
      </w:r>
      <w:r>
        <w:rPr>
          <w:rFonts w:eastAsia="仿宋_GB2312"/>
          <w:sz w:val="32"/>
          <w:szCs w:val="32"/>
        </w:rPr>
        <w:t>省级部门预算批复表</w:t>
      </w:r>
    </w:p>
    <w:p w14:paraId="5EFF80F6">
      <w:pPr>
        <w:keepNext w:val="0"/>
        <w:keepLines w:val="0"/>
        <w:pageBreakBefore w:val="0"/>
        <w:kinsoku/>
        <w:wordWrap/>
        <w:topLinePunct w:val="0"/>
        <w:autoSpaceDE/>
        <w:autoSpaceDN/>
        <w:bidi w:val="0"/>
        <w:adjustRightInd/>
        <w:snapToGrid/>
        <w:spacing w:before="50" w:line="600" w:lineRule="exact"/>
        <w:ind w:firstLine="636" w:firstLineChars="200"/>
        <w:textAlignment w:val="auto"/>
        <w:rPr>
          <w:rFonts w:hint="eastAsia" w:eastAsia="仿宋_GB2312"/>
          <w:sz w:val="32"/>
          <w:szCs w:val="32"/>
        </w:rPr>
      </w:pPr>
      <w:r>
        <w:rPr>
          <w:rFonts w:eastAsia="仿宋_GB2312"/>
          <w:sz w:val="32"/>
          <w:szCs w:val="32"/>
        </w:rPr>
        <w:t>3、</w:t>
      </w:r>
      <w:r>
        <w:rPr>
          <w:rFonts w:hint="eastAsia" w:eastAsia="仿宋_GB2312"/>
          <w:sz w:val="32"/>
          <w:szCs w:val="32"/>
          <w:lang w:eastAsia="zh-CN"/>
        </w:rPr>
        <w:t>2025年</w:t>
      </w:r>
      <w:r>
        <w:rPr>
          <w:rFonts w:eastAsia="仿宋_GB2312"/>
          <w:sz w:val="32"/>
          <w:szCs w:val="32"/>
        </w:rPr>
        <w:t>省级部门预算绩效目标表</w:t>
      </w:r>
    </w:p>
    <w:p w14:paraId="3684FB61">
      <w:pPr>
        <w:keepNext w:val="0"/>
        <w:keepLines w:val="0"/>
        <w:pageBreakBefore w:val="0"/>
        <w:kinsoku/>
        <w:wordWrap/>
        <w:topLinePunct w:val="0"/>
        <w:autoSpaceDE/>
        <w:autoSpaceDN/>
        <w:bidi w:val="0"/>
        <w:adjustRightInd/>
        <w:snapToGrid/>
        <w:spacing w:line="600" w:lineRule="exact"/>
        <w:textAlignment w:val="auto"/>
      </w:pPr>
    </w:p>
    <w:p w14:paraId="4F1451B7">
      <w:pPr>
        <w:keepNext w:val="0"/>
        <w:keepLines w:val="0"/>
        <w:pageBreakBefore w:val="0"/>
        <w:widowControl/>
        <w:kinsoku/>
        <w:wordWrap/>
        <w:topLinePunct w:val="0"/>
        <w:autoSpaceDE/>
        <w:autoSpaceDN/>
        <w:bidi w:val="0"/>
        <w:adjustRightInd/>
        <w:snapToGrid/>
        <w:spacing w:line="600" w:lineRule="exact"/>
        <w:jc w:val="left"/>
        <w:textAlignment w:val="auto"/>
        <w:rPr>
          <w:rFonts w:eastAsia="黑体"/>
          <w:sz w:val="32"/>
          <w:szCs w:val="32"/>
        </w:rPr>
        <w:sectPr>
          <w:footerReference r:id="rId3" w:type="default"/>
          <w:footerReference r:id="rId4" w:type="even"/>
          <w:pgSz w:w="11907" w:h="16840"/>
          <w:pgMar w:top="1417" w:right="1587" w:bottom="1417" w:left="1587" w:header="851" w:footer="992" w:gutter="0"/>
          <w:cols w:space="720" w:num="1"/>
          <w:docGrid w:type="linesAndChars" w:linePitch="495" w:charSpace="-594"/>
        </w:sectPr>
      </w:pPr>
    </w:p>
    <w:p w14:paraId="73B2174E">
      <w:pPr>
        <w:widowControl/>
        <w:spacing w:line="600" w:lineRule="exact"/>
        <w:jc w:val="left"/>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p>
    <w:p w14:paraId="255B5CD3">
      <w:pPr>
        <w:widowControl/>
        <w:spacing w:line="600" w:lineRule="exact"/>
        <w:jc w:val="center"/>
        <w:rPr>
          <w:rFonts w:hint="default" w:ascii="Times New Roman" w:hAnsi="Times New Roman" w:eastAsia="方正小标宋_GBK" w:cs="Times New Roman"/>
          <w:bCs/>
          <w:kern w:val="0"/>
          <w:sz w:val="44"/>
          <w:szCs w:val="44"/>
        </w:rPr>
      </w:pPr>
      <w:r>
        <w:rPr>
          <w:rFonts w:hint="default" w:ascii="Times New Roman" w:hAnsi="Times New Roman" w:eastAsia="黑体" w:cs="Times New Roman"/>
          <w:sz w:val="32"/>
          <w:szCs w:val="32"/>
        </w:rPr>
        <w:t xml:space="preserve"> </w:t>
      </w:r>
      <w:r>
        <w:rPr>
          <w:rFonts w:hint="eastAsia" w:ascii="Times New Roman" w:hAnsi="Times New Roman" w:eastAsia="方正小标宋_GBK" w:cs="Times New Roman"/>
          <w:bCs/>
          <w:kern w:val="0"/>
          <w:sz w:val="44"/>
          <w:szCs w:val="44"/>
          <w:lang w:eastAsia="zh-CN"/>
        </w:rPr>
        <w:t>2025年</w:t>
      </w:r>
      <w:r>
        <w:rPr>
          <w:rFonts w:hint="default" w:ascii="Times New Roman" w:hAnsi="Times New Roman" w:eastAsia="方正小标宋_GBK" w:cs="Times New Roman"/>
          <w:bCs/>
          <w:kern w:val="0"/>
          <w:sz w:val="36"/>
          <w:szCs w:val="36"/>
        </w:rPr>
        <w:t>×××</w:t>
      </w:r>
      <w:r>
        <w:rPr>
          <w:rFonts w:hint="default" w:ascii="Times New Roman" w:hAnsi="Times New Roman" w:eastAsia="方正小标宋_GBK" w:cs="Times New Roman"/>
          <w:bCs/>
          <w:kern w:val="0"/>
          <w:sz w:val="44"/>
          <w:szCs w:val="44"/>
        </w:rPr>
        <w:t>部门预算</w:t>
      </w:r>
    </w:p>
    <w:p w14:paraId="4CB4484F">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（参考模板）</w:t>
      </w:r>
    </w:p>
    <w:p w14:paraId="2F551FCA">
      <w:pPr>
        <w:widowControl/>
        <w:spacing w:line="600" w:lineRule="exact"/>
        <w:jc w:val="center"/>
        <w:rPr>
          <w:rFonts w:hint="default" w:ascii="Times New Roman" w:hAnsi="Times New Roman" w:eastAsia="楷体_GB2312" w:cs="Times New Roman"/>
          <w:bCs/>
          <w:kern w:val="0"/>
          <w:sz w:val="32"/>
          <w:szCs w:val="32"/>
        </w:rPr>
      </w:pPr>
    </w:p>
    <w:p w14:paraId="02211F41">
      <w:pPr>
        <w:widowControl/>
        <w:spacing w:line="600" w:lineRule="exact"/>
        <w:jc w:val="center"/>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目 录</w:t>
      </w:r>
    </w:p>
    <w:p w14:paraId="2303C34E">
      <w:pPr>
        <w:widowControl/>
        <w:spacing w:line="600" w:lineRule="exact"/>
        <w:jc w:val="left"/>
        <w:rPr>
          <w:rFonts w:hint="default" w:ascii="Times New Roman" w:hAnsi="Times New Roman" w:eastAsia="黑体" w:cs="Times New Roman"/>
          <w:bCs/>
          <w:kern w:val="0"/>
          <w:sz w:val="32"/>
          <w:szCs w:val="32"/>
        </w:rPr>
      </w:pPr>
    </w:p>
    <w:p w14:paraId="26D3BCE4">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方正小标宋_GBK" w:cs="Times New Roman"/>
          <w:bCs/>
          <w:kern w:val="0"/>
          <w:sz w:val="32"/>
          <w:szCs w:val="32"/>
        </w:rPr>
      </w:pPr>
      <w:r>
        <w:rPr>
          <w:rFonts w:hint="default" w:ascii="Times New Roman" w:hAnsi="Times New Roman" w:eastAsia="仿宋_GB2312" w:cs="Times New Roman"/>
          <w:b/>
          <w:bCs/>
          <w:kern w:val="0"/>
          <w:sz w:val="32"/>
          <w:szCs w:val="32"/>
        </w:rPr>
        <w:t xml:space="preserve">第一部分 </w:t>
      </w:r>
      <w:r>
        <w:rPr>
          <w:rFonts w:hint="default" w:ascii="Times New Roman" w:hAnsi="Times New Roman" w:eastAsia="方正小标宋_GBK" w:cs="Times New Roman"/>
          <w:b/>
          <w:bCs/>
          <w:kern w:val="0"/>
          <w:sz w:val="32"/>
          <w:szCs w:val="32"/>
          <w:lang w:eastAsia="zh-CN"/>
        </w:rPr>
        <w:t>2025</w:t>
      </w:r>
      <w:r>
        <w:rPr>
          <w:rFonts w:hint="default" w:ascii="Times New Roman" w:hAnsi="Times New Roman" w:eastAsia="仿宋_GB2312" w:cs="Times New Roman"/>
          <w:b/>
          <w:bCs/>
          <w:kern w:val="0"/>
          <w:sz w:val="32"/>
          <w:szCs w:val="32"/>
          <w:lang w:eastAsia="zh-CN"/>
        </w:rPr>
        <w:t>年</w:t>
      </w:r>
      <w:r>
        <w:rPr>
          <w:rFonts w:hint="default" w:ascii="Times New Roman" w:hAnsi="Times New Roman" w:eastAsia="仿宋_GB2312" w:cs="Times New Roman"/>
          <w:b/>
          <w:bCs/>
          <w:kern w:val="0"/>
          <w:sz w:val="32"/>
          <w:szCs w:val="32"/>
        </w:rPr>
        <w:t>部门预算说明</w:t>
      </w:r>
    </w:p>
    <w:p w14:paraId="07D013E2">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 xml:space="preserve">第二部分 </w:t>
      </w:r>
      <w:r>
        <w:rPr>
          <w:rFonts w:hint="default" w:ascii="Times New Roman" w:hAnsi="Times New Roman" w:eastAsia="仿宋_GB2312" w:cs="Times New Roman"/>
          <w:b/>
          <w:bCs/>
          <w:kern w:val="0"/>
          <w:sz w:val="32"/>
          <w:szCs w:val="32"/>
          <w:lang w:eastAsia="zh-CN"/>
        </w:rPr>
        <w:t>2025年</w:t>
      </w:r>
      <w:r>
        <w:rPr>
          <w:rFonts w:hint="default" w:ascii="Times New Roman" w:hAnsi="Times New Roman" w:eastAsia="仿宋_GB2312" w:cs="Times New Roman"/>
          <w:b/>
          <w:bCs/>
          <w:kern w:val="0"/>
          <w:sz w:val="32"/>
          <w:szCs w:val="32"/>
        </w:rPr>
        <w:t>部门预算表</w:t>
      </w:r>
    </w:p>
    <w:p w14:paraId="6120EDE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1、收支总表</w:t>
      </w:r>
    </w:p>
    <w:p w14:paraId="1F3DDFC0">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2、收入总表</w:t>
      </w:r>
    </w:p>
    <w:p w14:paraId="7B983B3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3、支出总表</w:t>
      </w:r>
    </w:p>
    <w:p w14:paraId="7AC3700C">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4、支出预算分类汇总表（按政府预算经济分类）</w:t>
      </w:r>
    </w:p>
    <w:p w14:paraId="4663329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5、支出预算分类汇总表（按部门预算经济分类）</w:t>
      </w:r>
    </w:p>
    <w:p w14:paraId="77C9D9B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6、财政拨款收支总表</w:t>
      </w:r>
    </w:p>
    <w:p w14:paraId="04DFABC5">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7、一般公共预算支出表</w:t>
      </w:r>
    </w:p>
    <w:p w14:paraId="1330FCDE">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8、一般公共预算基本支出表-人员经费（工资福利支出）（按政府预算经济分类）</w:t>
      </w:r>
    </w:p>
    <w:p w14:paraId="438BE1E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9、一般公共预算基本支出表-人员经费（工资福利支出）（按部门预算经济分类）</w:t>
      </w:r>
    </w:p>
    <w:p w14:paraId="37903C3B">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10、一般公共预算基本支出表-人员经费（对个人和家庭的补助）（按政府预算经济分类）</w:t>
      </w:r>
    </w:p>
    <w:p w14:paraId="7A11B4D7">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11、一般公共预算基本支出表-人员经费（对个人和家庭的补助）（按部门预算经济分类）</w:t>
      </w:r>
    </w:p>
    <w:p w14:paraId="0C1EEE9B">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12、一般公共预算基本支出表-公用经费（商品和服务支出）（按政府预算经济分类）</w:t>
      </w:r>
    </w:p>
    <w:p w14:paraId="61304218">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13、一般公共预算基本支出表-公用经费（商品和服务支出）（按部门预算经济分类）</w:t>
      </w:r>
    </w:p>
    <w:p w14:paraId="6DD86249">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14、一般公共预算“三公”经费支出表</w:t>
      </w:r>
    </w:p>
    <w:p w14:paraId="499FBE9D">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15、政府性基金预算支出表</w:t>
      </w:r>
    </w:p>
    <w:p w14:paraId="12642200">
      <w:pPr>
        <w:keepNext w:val="0"/>
        <w:keepLines w:val="0"/>
        <w:pageBreakBefore w:val="0"/>
        <w:widowControl/>
        <w:kinsoku/>
        <w:wordWrap/>
        <w:overflowPunct/>
        <w:topLinePunct w:val="0"/>
        <w:autoSpaceDE/>
        <w:autoSpaceDN/>
        <w:bidi w:val="0"/>
        <w:adjustRightInd/>
        <w:snapToGrid/>
        <w:spacing w:line="600" w:lineRule="exact"/>
        <w:ind w:firstLine="592" w:firstLineChars="200"/>
        <w:jc w:val="left"/>
        <w:textAlignment w:val="auto"/>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pacing w:val="-11"/>
          <w:sz w:val="32"/>
          <w:szCs w:val="32"/>
        </w:rPr>
        <w:t>16、政府性基金预算支出分类汇总表（按政府预算经济分类）</w:t>
      </w:r>
    </w:p>
    <w:p w14:paraId="3044C94F">
      <w:pPr>
        <w:keepNext w:val="0"/>
        <w:keepLines w:val="0"/>
        <w:pageBreakBefore w:val="0"/>
        <w:widowControl/>
        <w:kinsoku/>
        <w:wordWrap/>
        <w:overflowPunct/>
        <w:topLinePunct w:val="0"/>
        <w:autoSpaceDE/>
        <w:autoSpaceDN/>
        <w:bidi w:val="0"/>
        <w:adjustRightInd/>
        <w:snapToGrid/>
        <w:spacing w:line="600" w:lineRule="exact"/>
        <w:ind w:firstLine="592" w:firstLineChars="200"/>
        <w:jc w:val="left"/>
        <w:textAlignment w:val="auto"/>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pacing w:val="-11"/>
          <w:sz w:val="32"/>
          <w:szCs w:val="32"/>
        </w:rPr>
        <w:t>17、政府性基金预算支出分类汇总表（按部门预算经济分类）</w:t>
      </w:r>
    </w:p>
    <w:p w14:paraId="564736E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18、国有资本经营预算支出表</w:t>
      </w:r>
    </w:p>
    <w:p w14:paraId="259DA353">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19、财政专户管理资金预算支出表</w:t>
      </w:r>
    </w:p>
    <w:p w14:paraId="301554BD">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20、省级专项资金预算汇总表</w:t>
      </w:r>
    </w:p>
    <w:p w14:paraId="722A6FD4">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21、省级专项资金绩效目标表</w:t>
      </w:r>
    </w:p>
    <w:p w14:paraId="2F24710D">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22、其他项目支出绩效目标表</w:t>
      </w:r>
    </w:p>
    <w:p w14:paraId="4BBCC45C">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23、部门整体支出绩效目标表</w:t>
      </w:r>
    </w:p>
    <w:p w14:paraId="7B885B00">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bCs w:val="0"/>
          <w:kern w:val="0"/>
          <w:sz w:val="32"/>
          <w:szCs w:val="32"/>
        </w:rPr>
      </w:pPr>
      <w:r>
        <w:rPr>
          <w:rFonts w:hint="default" w:ascii="Times New Roman" w:hAnsi="Times New Roman" w:eastAsia="仿宋_GB2312" w:cs="Times New Roman"/>
          <w:b/>
          <w:bCs w:val="0"/>
          <w:kern w:val="0"/>
          <w:sz w:val="32"/>
          <w:szCs w:val="32"/>
        </w:rPr>
        <w:t>注：</w:t>
      </w:r>
    </w:p>
    <w:p w14:paraId="17777CB8">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bCs w:val="0"/>
          <w:kern w:val="0"/>
          <w:sz w:val="32"/>
          <w:szCs w:val="32"/>
        </w:rPr>
      </w:pPr>
      <w:r>
        <w:rPr>
          <w:rFonts w:hint="eastAsia" w:ascii="Times New Roman" w:hAnsi="Times New Roman" w:eastAsia="仿宋_GB2312" w:cs="Times New Roman"/>
          <w:b/>
          <w:bCs w:val="0"/>
          <w:kern w:val="0"/>
          <w:sz w:val="32"/>
          <w:szCs w:val="32"/>
          <w:lang w:val="en-US" w:eastAsia="zh-CN"/>
        </w:rPr>
        <w:t>1、</w:t>
      </w:r>
      <w:r>
        <w:rPr>
          <w:rFonts w:hint="default" w:ascii="Times New Roman" w:hAnsi="Times New Roman" w:eastAsia="仿宋_GB2312" w:cs="Times New Roman"/>
          <w:b/>
          <w:bCs w:val="0"/>
          <w:kern w:val="0"/>
          <w:sz w:val="32"/>
          <w:szCs w:val="32"/>
        </w:rPr>
        <w:t>以上部门预算报表中，</w:t>
      </w:r>
      <w:r>
        <w:rPr>
          <w:rFonts w:hint="default" w:ascii="Times New Roman" w:hAnsi="Times New Roman" w:eastAsia="仿宋_GB2312" w:cs="Times New Roman"/>
          <w:b/>
          <w:bCs w:val="0"/>
          <w:kern w:val="0"/>
          <w:sz w:val="32"/>
          <w:szCs w:val="32"/>
          <w:highlight w:val="yellow"/>
          <w:lang w:eastAsia="zh-CN"/>
        </w:rPr>
        <w:t>如</w:t>
      </w:r>
      <w:r>
        <w:rPr>
          <w:rFonts w:hint="default" w:ascii="Times New Roman" w:hAnsi="Times New Roman" w:eastAsia="仿宋_GB2312" w:cs="Times New Roman"/>
          <w:b/>
          <w:bCs w:val="0"/>
          <w:kern w:val="0"/>
          <w:sz w:val="32"/>
          <w:szCs w:val="32"/>
          <w:highlight w:val="yellow"/>
        </w:rPr>
        <w:t>本部门无相关情况</w:t>
      </w:r>
      <w:r>
        <w:rPr>
          <w:rFonts w:hint="default" w:ascii="Times New Roman" w:hAnsi="Times New Roman" w:eastAsia="仿宋_GB2312" w:cs="Times New Roman"/>
          <w:b/>
          <w:bCs w:val="0"/>
          <w:kern w:val="0"/>
          <w:sz w:val="32"/>
          <w:szCs w:val="32"/>
          <w:highlight w:val="yellow"/>
          <w:lang w:eastAsia="zh-CN"/>
        </w:rPr>
        <w:t>，也需公开空表</w:t>
      </w:r>
      <w:r>
        <w:rPr>
          <w:rFonts w:hint="eastAsia" w:ascii="Times New Roman" w:hAnsi="Times New Roman" w:eastAsia="仿宋_GB2312" w:cs="Times New Roman"/>
          <w:b/>
          <w:bCs w:val="0"/>
          <w:kern w:val="0"/>
          <w:sz w:val="32"/>
          <w:szCs w:val="32"/>
          <w:highlight w:val="yellow"/>
          <w:lang w:eastAsia="zh-CN"/>
        </w:rPr>
        <w:t>，不得随意删减</w:t>
      </w:r>
      <w:r>
        <w:rPr>
          <w:rFonts w:hint="eastAsia" w:ascii="Times New Roman" w:hAnsi="Times New Roman" w:eastAsia="仿宋_GB2312" w:cs="Times New Roman"/>
          <w:b/>
          <w:bCs w:val="0"/>
          <w:kern w:val="0"/>
          <w:sz w:val="32"/>
          <w:szCs w:val="32"/>
          <w:lang w:eastAsia="zh-CN"/>
        </w:rPr>
        <w:t>或仅在部门预算说明中以文字表述</w:t>
      </w:r>
      <w:r>
        <w:rPr>
          <w:rFonts w:hint="default" w:ascii="Times New Roman" w:hAnsi="Times New Roman" w:eastAsia="仿宋_GB2312" w:cs="Times New Roman"/>
          <w:b/>
          <w:bCs w:val="0"/>
          <w:kern w:val="0"/>
          <w:sz w:val="32"/>
          <w:szCs w:val="32"/>
        </w:rPr>
        <w:t>。</w:t>
      </w:r>
    </w:p>
    <w:p w14:paraId="3FC721D5">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b/>
          <w:bCs w:val="0"/>
          <w:kern w:val="0"/>
          <w:sz w:val="32"/>
          <w:szCs w:val="32"/>
          <w:lang w:val="en-US" w:eastAsia="zh-CN"/>
        </w:rPr>
      </w:pPr>
      <w:r>
        <w:rPr>
          <w:rFonts w:hint="eastAsia" w:ascii="Times New Roman" w:hAnsi="Times New Roman" w:eastAsia="仿宋_GB2312" w:cs="Times New Roman"/>
          <w:b/>
          <w:bCs w:val="0"/>
          <w:kern w:val="0"/>
          <w:sz w:val="32"/>
          <w:szCs w:val="32"/>
          <w:lang w:val="en-US" w:eastAsia="zh-CN"/>
        </w:rPr>
        <w:t>2、按照财政部要求，公开预算必须编制目录，不得以预算管理一体化系统中导出公开表格的目录代替公开目录。</w:t>
      </w:r>
    </w:p>
    <w:p w14:paraId="669F8B05">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b/>
          <w:bCs w:val="0"/>
          <w:kern w:val="0"/>
          <w:sz w:val="32"/>
          <w:szCs w:val="32"/>
          <w:lang w:val="en-US" w:eastAsia="zh-CN"/>
        </w:rPr>
      </w:pPr>
      <w:r>
        <w:rPr>
          <w:rFonts w:hint="eastAsia" w:ascii="Times New Roman" w:hAnsi="Times New Roman" w:eastAsia="仿宋_GB2312" w:cs="Times New Roman"/>
          <w:b/>
          <w:bCs w:val="0"/>
          <w:kern w:val="0"/>
          <w:sz w:val="32"/>
          <w:szCs w:val="32"/>
          <w:lang w:val="en-US" w:eastAsia="zh-CN"/>
        </w:rPr>
        <w:t>3、除上年结转编入部门预算外，如当年有编列项目支出预算，则“22、其他项目支出绩效目标表”不得为空，或仅填列金额而无具体绩效指标说明。</w:t>
      </w:r>
    </w:p>
    <w:p w14:paraId="050D9663">
      <w:pPr>
        <w:widowControl/>
        <w:spacing w:line="600" w:lineRule="exact"/>
        <w:jc w:val="center"/>
        <w:rPr>
          <w:rFonts w:hint="default" w:ascii="Times New Roman" w:hAnsi="Times New Roman" w:eastAsia="方正小标宋_GBK" w:cs="Times New Roman"/>
          <w:bCs/>
          <w:kern w:val="0"/>
          <w:sz w:val="36"/>
          <w:szCs w:val="36"/>
        </w:rPr>
      </w:pPr>
    </w:p>
    <w:p w14:paraId="47ED9DDA">
      <w:pPr>
        <w:widowControl/>
        <w:spacing w:line="600" w:lineRule="exact"/>
        <w:jc w:val="center"/>
        <w:rPr>
          <w:rFonts w:hint="default" w:ascii="Times New Roman" w:hAnsi="Times New Roman" w:eastAsia="方正小标宋_GBK" w:cs="Times New Roman"/>
          <w:bCs/>
          <w:kern w:val="0"/>
          <w:sz w:val="36"/>
          <w:szCs w:val="36"/>
        </w:rPr>
      </w:pPr>
      <w:r>
        <w:rPr>
          <w:rFonts w:hint="default" w:ascii="Times New Roman" w:hAnsi="Times New Roman" w:eastAsia="方正小标宋_GBK" w:cs="Times New Roman"/>
          <w:bCs/>
          <w:kern w:val="0"/>
          <w:sz w:val="36"/>
          <w:szCs w:val="36"/>
        </w:rPr>
        <w:t xml:space="preserve">第一部分 </w:t>
      </w:r>
      <w:r>
        <w:rPr>
          <w:rFonts w:hint="eastAsia" w:ascii="Times New Roman" w:hAnsi="Times New Roman" w:eastAsia="方正小标宋_GBK" w:cs="Times New Roman"/>
          <w:bCs/>
          <w:kern w:val="0"/>
          <w:sz w:val="36"/>
          <w:szCs w:val="36"/>
          <w:lang w:eastAsia="zh-CN"/>
        </w:rPr>
        <w:t>2025年</w:t>
      </w:r>
      <w:r>
        <w:rPr>
          <w:rFonts w:hint="default" w:ascii="Times New Roman" w:hAnsi="Times New Roman" w:eastAsia="方正小标宋_GBK" w:cs="Times New Roman"/>
          <w:bCs/>
          <w:kern w:val="0"/>
          <w:sz w:val="36"/>
          <w:szCs w:val="36"/>
        </w:rPr>
        <w:t>部门预算说明</w:t>
      </w:r>
    </w:p>
    <w:p w14:paraId="44081E61">
      <w:pPr>
        <w:widowControl/>
        <w:spacing w:line="600" w:lineRule="exact"/>
        <w:jc w:val="left"/>
        <w:rPr>
          <w:rFonts w:hint="default" w:ascii="Times New Roman" w:hAnsi="Times New Roman" w:eastAsia="仿宋_GB2312" w:cs="Times New Roman"/>
          <w:b/>
          <w:bCs/>
          <w:kern w:val="0"/>
          <w:sz w:val="32"/>
          <w:szCs w:val="32"/>
        </w:rPr>
      </w:pPr>
    </w:p>
    <w:p w14:paraId="59664F68">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一、部门基本概况</w:t>
      </w:r>
    </w:p>
    <w:p w14:paraId="61163A5A">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（一）职能职责。……</w:t>
      </w:r>
    </w:p>
    <w:p w14:paraId="7CA12014">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（二）机构设置。……</w:t>
      </w:r>
    </w:p>
    <w:p w14:paraId="03DFF51D">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（注：职能职责和机构设置需分开列示）</w:t>
      </w:r>
    </w:p>
    <w:p w14:paraId="478D456E">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二、部门预算单位构成</w:t>
      </w:r>
    </w:p>
    <w:p w14:paraId="445163AD">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本部门预算为汇总预算，纳入编制范围的预算单位包括：</w:t>
      </w:r>
    </w:p>
    <w:p w14:paraId="0B877B6F">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1、×××部门本级</w:t>
      </w:r>
    </w:p>
    <w:p w14:paraId="251358E6">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p w14:paraId="565328B7">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或者：</w:t>
      </w:r>
      <w:r>
        <w:rPr>
          <w:rFonts w:hint="default" w:ascii="Times New Roman" w:hAnsi="Times New Roman" w:eastAsia="仿宋_GB2312" w:cs="Times New Roman"/>
          <w:sz w:val="32"/>
          <w:szCs w:val="32"/>
        </w:rPr>
        <w:t>×××部门只有本级，没有其他预算单位，因此本部门预算仅含本级预算。</w:t>
      </w:r>
    </w:p>
    <w:p w14:paraId="1DC5E255">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三、部门收支总体情况</w:t>
      </w:r>
    </w:p>
    <w:p w14:paraId="0883BB4E">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（一）收入预算：</w:t>
      </w:r>
      <w:r>
        <w:rPr>
          <w:rFonts w:hint="default" w:ascii="Times New Roman" w:hAnsi="Times New Roman" w:eastAsia="仿宋_GB2312" w:cs="Times New Roman"/>
          <w:sz w:val="32"/>
          <w:szCs w:val="32"/>
        </w:rPr>
        <w:t>包括一般公共预算、政府性基金、国有资本经营预算等财政拨款收入，以及经营收入、事业收入等单位资金。</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本部门收入预算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万元，其中，一般公共预算拨款</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万元，政府性基金预算拨款</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万元，国有资本经营预算拨款</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万元，纳入专户管理的非税收入</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sz w:val="32"/>
          <w:szCs w:val="32"/>
        </w:rPr>
        <w:t>收入较去年增加（减少</w:t>
      </w:r>
      <w:r>
        <w:rPr>
          <w:rFonts w:hint="eastAsia" w:ascii="Times New Roman" w:hAnsi="Times New Roman" w:eastAsia="仿宋_GB2312" w:cs="Times New Roman"/>
          <w:b/>
          <w:sz w:val="32"/>
          <w:szCs w:val="32"/>
          <w:lang w:val="en-US" w:eastAsia="zh-CN"/>
        </w:rPr>
        <w:t>或持平</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u w:val="single"/>
        </w:rPr>
        <w:t xml:space="preserve">   </w:t>
      </w:r>
      <w:r>
        <w:rPr>
          <w:rFonts w:hint="default" w:ascii="Times New Roman" w:hAnsi="Times New Roman" w:eastAsia="仿宋_GB2312" w:cs="Times New Roman"/>
          <w:b/>
          <w:sz w:val="32"/>
          <w:szCs w:val="32"/>
        </w:rPr>
        <w:t>万元，主要是……</w:t>
      </w:r>
      <w:r>
        <w:rPr>
          <w:rFonts w:hint="eastAsia" w:ascii="Times New Roman" w:hAnsi="Times New Roman" w:eastAsia="仿宋_GB2312" w:cs="Times New Roman"/>
          <w:b/>
          <w:sz w:val="32"/>
          <w:szCs w:val="32"/>
          <w:lang w:eastAsia="zh-CN"/>
        </w:rPr>
        <w:t>（说明原因）</w:t>
      </w:r>
      <w:r>
        <w:rPr>
          <w:rFonts w:hint="default" w:ascii="Times New Roman" w:hAnsi="Times New Roman" w:eastAsia="仿宋_GB2312" w:cs="Times New Roman"/>
          <w:b/>
          <w:sz w:val="32"/>
          <w:szCs w:val="32"/>
        </w:rPr>
        <w:t>。</w:t>
      </w:r>
    </w:p>
    <w:p w14:paraId="26302190">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w:t>
      </w:r>
      <w:r>
        <w:rPr>
          <w:rFonts w:hint="eastAsia" w:ascii="Times New Roman" w:hAnsi="Times New Roman" w:eastAsia="仿宋_GB2312" w:cs="Times New Roman"/>
          <w:b/>
          <w:sz w:val="32"/>
          <w:szCs w:val="32"/>
          <w:lang w:eastAsia="zh-CN"/>
        </w:rPr>
        <w:t>如为当年度新组建部门，无收入增减变化情况，也一定要作出说明，表述为“</w:t>
      </w:r>
      <w:r>
        <w:rPr>
          <w:rFonts w:hint="eastAsia" w:ascii="Times New Roman" w:hAnsi="Times New Roman" w:eastAsia="仿宋_GB2312" w:cs="Times New Roman"/>
          <w:b/>
          <w:sz w:val="32"/>
          <w:szCs w:val="32"/>
          <w:lang w:val="en-US" w:eastAsia="zh-CN"/>
        </w:rPr>
        <w:t>xx（部门名称）</w:t>
      </w:r>
      <w:r>
        <w:rPr>
          <w:rFonts w:hint="eastAsia" w:ascii="Times New Roman" w:hAnsi="Times New Roman" w:eastAsia="仿宋_GB2312" w:cs="Times New Roman"/>
          <w:b/>
          <w:sz w:val="32"/>
          <w:szCs w:val="32"/>
          <w:lang w:eastAsia="zh-CN"/>
        </w:rPr>
        <w:t>为</w:t>
      </w:r>
      <w:r>
        <w:rPr>
          <w:rFonts w:hint="eastAsia" w:ascii="Times New Roman" w:hAnsi="Times New Roman" w:eastAsia="仿宋_GB2312" w:cs="Times New Roman"/>
          <w:b/>
          <w:sz w:val="32"/>
          <w:szCs w:val="32"/>
          <w:lang w:val="en-US" w:eastAsia="zh-CN"/>
        </w:rPr>
        <w:t>当年新增预算部门，无法同上年进行对比</w:t>
      </w:r>
      <w:r>
        <w:rPr>
          <w:rFonts w:hint="eastAsia" w:ascii="Times New Roman" w:hAnsi="Times New Roman" w:eastAsia="仿宋_GB2312" w:cs="Times New Roman"/>
          <w:b/>
          <w:sz w:val="32"/>
          <w:szCs w:val="32"/>
          <w:lang w:eastAsia="zh-CN"/>
        </w:rPr>
        <w:t>”，不得删除文字表述</w:t>
      </w:r>
      <w:r>
        <w:rPr>
          <w:rFonts w:hint="default" w:ascii="Times New Roman" w:hAnsi="Times New Roman" w:eastAsia="仿宋_GB2312" w:cs="Times New Roman"/>
          <w:b/>
          <w:sz w:val="32"/>
          <w:szCs w:val="32"/>
        </w:rPr>
        <w:t>）</w:t>
      </w:r>
    </w:p>
    <w:p w14:paraId="4F5AF34B">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（二）支出预算：</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万元，其中，一般公共服务</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万元，公共安全</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万元，教育</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万元，科学技术</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b/>
          <w:sz w:val="32"/>
          <w:szCs w:val="32"/>
        </w:rPr>
        <w:t>支出较去年增加（减少</w:t>
      </w:r>
      <w:r>
        <w:rPr>
          <w:rFonts w:hint="eastAsia" w:ascii="Times New Roman" w:hAnsi="Times New Roman" w:eastAsia="仿宋_GB2312" w:cs="Times New Roman"/>
          <w:b/>
          <w:sz w:val="32"/>
          <w:szCs w:val="32"/>
          <w:lang w:val="en-US" w:eastAsia="zh-CN"/>
        </w:rPr>
        <w:t>或持平</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u w:val="single"/>
        </w:rPr>
        <w:t xml:space="preserve">   </w:t>
      </w:r>
      <w:r>
        <w:rPr>
          <w:rFonts w:hint="default" w:ascii="Times New Roman" w:hAnsi="Times New Roman" w:eastAsia="仿宋_GB2312" w:cs="Times New Roman"/>
          <w:b/>
          <w:sz w:val="32"/>
          <w:szCs w:val="32"/>
        </w:rPr>
        <w:t>万元，主要是……</w:t>
      </w:r>
      <w:r>
        <w:rPr>
          <w:rFonts w:hint="eastAsia" w:ascii="Times New Roman" w:hAnsi="Times New Roman" w:eastAsia="仿宋_GB2312" w:cs="Times New Roman"/>
          <w:b/>
          <w:sz w:val="32"/>
          <w:szCs w:val="32"/>
          <w:lang w:eastAsia="zh-CN"/>
        </w:rPr>
        <w:t>（说明原因）</w:t>
      </w:r>
      <w:r>
        <w:rPr>
          <w:rFonts w:hint="default" w:ascii="Times New Roman" w:hAnsi="Times New Roman" w:eastAsia="仿宋_GB2312" w:cs="Times New Roman"/>
          <w:b/>
          <w:sz w:val="32"/>
          <w:szCs w:val="32"/>
        </w:rPr>
        <w:t>。</w:t>
      </w:r>
    </w:p>
    <w:p w14:paraId="64171694">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w:t>
      </w:r>
      <w:r>
        <w:rPr>
          <w:rFonts w:hint="eastAsia" w:ascii="Times New Roman" w:hAnsi="Times New Roman" w:eastAsia="仿宋_GB2312" w:cs="Times New Roman"/>
          <w:b/>
          <w:sz w:val="32"/>
          <w:szCs w:val="32"/>
          <w:lang w:eastAsia="zh-CN"/>
        </w:rPr>
        <w:t>如为当年度新组建部门，无支出增减变化情况，也一定要作出说明，表述为“</w:t>
      </w:r>
      <w:r>
        <w:rPr>
          <w:rFonts w:hint="eastAsia" w:ascii="Times New Roman" w:hAnsi="Times New Roman" w:eastAsia="仿宋_GB2312" w:cs="Times New Roman"/>
          <w:b/>
          <w:sz w:val="32"/>
          <w:szCs w:val="32"/>
          <w:lang w:val="en-US" w:eastAsia="zh-CN"/>
        </w:rPr>
        <w:t>xx（部门名称）</w:t>
      </w:r>
      <w:r>
        <w:rPr>
          <w:rFonts w:hint="eastAsia" w:ascii="Times New Roman" w:hAnsi="Times New Roman" w:eastAsia="仿宋_GB2312" w:cs="Times New Roman"/>
          <w:b/>
          <w:sz w:val="32"/>
          <w:szCs w:val="32"/>
          <w:lang w:eastAsia="zh-CN"/>
        </w:rPr>
        <w:t>为</w:t>
      </w:r>
      <w:r>
        <w:rPr>
          <w:rFonts w:hint="eastAsia" w:ascii="Times New Roman" w:hAnsi="Times New Roman" w:eastAsia="仿宋_GB2312" w:cs="Times New Roman"/>
          <w:b/>
          <w:sz w:val="32"/>
          <w:szCs w:val="32"/>
          <w:lang w:val="en-US" w:eastAsia="zh-CN"/>
        </w:rPr>
        <w:t>当年新增预算部门，无法同上年进行对比</w:t>
      </w:r>
      <w:r>
        <w:rPr>
          <w:rFonts w:hint="eastAsia" w:ascii="Times New Roman" w:hAnsi="Times New Roman" w:eastAsia="仿宋_GB2312" w:cs="Times New Roman"/>
          <w:b/>
          <w:sz w:val="32"/>
          <w:szCs w:val="32"/>
          <w:lang w:eastAsia="zh-CN"/>
        </w:rPr>
        <w:t>”，不得删除文字表述</w:t>
      </w:r>
      <w:r>
        <w:rPr>
          <w:rFonts w:hint="default" w:ascii="Times New Roman" w:hAnsi="Times New Roman" w:eastAsia="仿宋_GB2312" w:cs="Times New Roman"/>
          <w:b/>
          <w:sz w:val="32"/>
          <w:szCs w:val="32"/>
        </w:rPr>
        <w:t>）</w:t>
      </w:r>
    </w:p>
    <w:p w14:paraId="2B815621">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四、一般公共预算拨款支出</w:t>
      </w:r>
    </w:p>
    <w:p w14:paraId="0D62F82C">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本部门一般公共预算拨款支出预算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万元，其中，一般公共服务支出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%；公共安全支出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%；……。具体安排情况如下：</w:t>
      </w:r>
    </w:p>
    <w:p w14:paraId="2AE76900">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default" w:ascii="Times New Roman" w:hAnsi="Times New Roman" w:eastAsia="楷体_GB2312" w:cs="Times New Roman"/>
          <w:b/>
          <w:sz w:val="32"/>
          <w:szCs w:val="32"/>
        </w:rPr>
        <w:t>（一）基本支出：</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本部门基本支出预算数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万元，主要是为保障部门正常运转、完成日常工作任务而发生的各项支出，包括用于基本工资、津贴补贴等人员经费以及办公费、印刷费、水电费、办公设备购置等公用经费。</w:t>
      </w:r>
    </w:p>
    <w:p w14:paraId="03AFAF81">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（二）项目支出：</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本部门项目支出预算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万元，主要是部门为完成特定行政工作任务或事业发展目标而发生的支出，包括有关事业发展专项、专项业务费、基本建设支出等，其中：</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万元，主要用于……等方面；</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万元，主要用于……等方面；¨¨¨。</w:t>
      </w:r>
    </w:p>
    <w:p w14:paraId="3CFF812A">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五、政府性基金预算支出</w:t>
      </w:r>
    </w:p>
    <w:p w14:paraId="2D3FAB97">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本部门政府性基金支出预算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万元，其中，科学技术支出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%；文化旅游体育与传媒支出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%；……。具体安排情况如下：……</w:t>
      </w:r>
    </w:p>
    <w:p w14:paraId="02245302">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（注：如无政府性基金预算安排的支出，应</w:t>
      </w:r>
      <w:r>
        <w:rPr>
          <w:rFonts w:hint="eastAsia" w:ascii="Times New Roman" w:hAnsi="Times New Roman" w:eastAsia="仿宋_GB2312" w:cs="Times New Roman"/>
          <w:b/>
          <w:sz w:val="32"/>
          <w:szCs w:val="32"/>
          <w:lang w:eastAsia="zh-CN"/>
        </w:rPr>
        <w:t>表述为</w:t>
      </w:r>
      <w:r>
        <w:rPr>
          <w:rFonts w:hint="default" w:ascii="Times New Roman" w:hAnsi="Times New Roman" w:eastAsia="仿宋_GB2312" w:cs="Times New Roman"/>
          <w:b/>
          <w:sz w:val="32"/>
          <w:szCs w:val="32"/>
        </w:rPr>
        <w:t>“本部门无政府性基金安排的支出”</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不得</w:t>
      </w:r>
      <w:r>
        <w:rPr>
          <w:rFonts w:hint="eastAsia" w:ascii="Times New Roman" w:hAnsi="Times New Roman" w:eastAsia="仿宋_GB2312" w:cs="Times New Roman"/>
          <w:b/>
          <w:sz w:val="32"/>
          <w:szCs w:val="32"/>
          <w:lang w:eastAsia="zh-CN"/>
        </w:rPr>
        <w:t>删除</w:t>
      </w:r>
      <w:r>
        <w:rPr>
          <w:rFonts w:hint="default" w:ascii="Times New Roman" w:hAnsi="Times New Roman" w:eastAsia="仿宋_GB2312" w:cs="Times New Roman"/>
          <w:b/>
          <w:sz w:val="32"/>
          <w:szCs w:val="32"/>
        </w:rPr>
        <w:t>文字表述）</w:t>
      </w:r>
    </w:p>
    <w:p w14:paraId="200FB282">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六、其他重要事项的情况说明</w:t>
      </w:r>
    </w:p>
    <w:p w14:paraId="6701BA56">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（一）运行经费：</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本部门本级、……等</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家行政事业单位的运行经费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万元，比上年预算减少（增加或持平）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万元，下降（上升）</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%，主要是……。</w:t>
      </w:r>
    </w:p>
    <w:p w14:paraId="598D45F6">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（二）“三公”经费预算：</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本部门机关本级、……等</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家行政事业单位“三公”经费预算数为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万元，其中，公务接待费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万元，公务用车购置及运行费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万元（其中，公务用车购置费 万元，公务用车运行费 万元），因公出国（境）费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“三公”经费预算较</w:t>
      </w:r>
      <w:r>
        <w:rPr>
          <w:rFonts w:hint="eastAsia" w:ascii="Times New Roman" w:hAnsi="Times New Roman" w:eastAsia="仿宋_GB2312" w:cs="Times New Roman"/>
          <w:sz w:val="32"/>
          <w:szCs w:val="32"/>
          <w:lang w:eastAsia="zh-CN"/>
        </w:rPr>
        <w:t>上</w:t>
      </w:r>
      <w:r>
        <w:rPr>
          <w:rFonts w:hint="default" w:ascii="Times New Roman" w:hAnsi="Times New Roman" w:eastAsia="仿宋_GB2312" w:cs="Times New Roman"/>
          <w:sz w:val="32"/>
          <w:szCs w:val="32"/>
        </w:rPr>
        <w:t>年减少（增加或持平）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万元，主要是……。</w:t>
      </w:r>
    </w:p>
    <w:p w14:paraId="3376C0AD">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（注：如无</w:t>
      </w:r>
      <w:r>
        <w:rPr>
          <w:rFonts w:hint="eastAsia" w:ascii="Times New Roman" w:hAnsi="Times New Roman" w:eastAsia="仿宋_GB2312" w:cs="Times New Roman"/>
          <w:b/>
          <w:sz w:val="32"/>
          <w:szCs w:val="32"/>
          <w:lang w:eastAsia="zh-CN"/>
        </w:rPr>
        <w:t>“三公”经费预算</w:t>
      </w: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eastAsia="zh-CN"/>
        </w:rPr>
        <w:t>则填“</w:t>
      </w:r>
      <w:r>
        <w:rPr>
          <w:rFonts w:hint="eastAsia" w:ascii="Times New Roman" w:hAnsi="Times New Roman" w:eastAsia="仿宋_GB2312" w:cs="Times New Roman"/>
          <w:b/>
          <w:sz w:val="32"/>
          <w:szCs w:val="32"/>
          <w:lang w:val="en-US" w:eastAsia="zh-CN"/>
        </w:rPr>
        <w:t>0”；如为当年度新组建部门，无“三公”经费增减变化情况，也一定要作出说明，表述为“xx（部门名称）为当年新增预算部门，无法同上年进行对比”，不得删除文字表述</w:t>
      </w:r>
      <w:r>
        <w:rPr>
          <w:rFonts w:hint="default" w:ascii="Times New Roman" w:hAnsi="Times New Roman" w:eastAsia="仿宋_GB2312" w:cs="Times New Roman"/>
          <w:b/>
          <w:sz w:val="32"/>
          <w:szCs w:val="32"/>
        </w:rPr>
        <w:t>）</w:t>
      </w:r>
    </w:p>
    <w:p w14:paraId="36335697">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楷体_GB2312" w:cs="Times New Roman"/>
          <w:b/>
          <w:sz w:val="32"/>
          <w:szCs w:val="32"/>
        </w:rPr>
        <w:t>（三）一般性支出情况：</w:t>
      </w:r>
      <w:r>
        <w:rPr>
          <w:rFonts w:hint="eastAsia" w:ascii="Times New Roman" w:hAnsi="Times New Roman" w:eastAsia="仿宋_GB2312" w:cs="Times New Roman"/>
          <w:kern w:val="0"/>
          <w:sz w:val="32"/>
          <w:szCs w:val="32"/>
          <w:lang w:eastAsia="zh-CN"/>
        </w:rPr>
        <w:t>2025年</w:t>
      </w:r>
      <w:r>
        <w:rPr>
          <w:rFonts w:hint="default" w:ascii="Times New Roman" w:hAnsi="Times New Roman" w:eastAsia="仿宋_GB2312" w:cs="Times New Roman"/>
          <w:kern w:val="0"/>
          <w:sz w:val="32"/>
          <w:szCs w:val="32"/>
        </w:rPr>
        <w:t>本部门会议费预算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万元，拟召开</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会议，人数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人，内容为……；培训费预算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万元，拟开展</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培训，人数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人，内容为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；拟举办</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等节庆、晚会、论坛、赛事活动，经费预算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万元。</w:t>
      </w:r>
    </w:p>
    <w:p w14:paraId="42D08D06">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（四）政府采购情况：</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本部门政府采购预算总额</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万元，其中，货物类采购预算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万元；工程类采购预算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万元；服务类采购预算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p>
    <w:p w14:paraId="3995E3F8">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（注：如某大类无采购预算，则填“0”）</w:t>
      </w:r>
    </w:p>
    <w:p w14:paraId="7B897FC6">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Cs/>
          <w:kern w:val="0"/>
          <w:sz w:val="32"/>
          <w:szCs w:val="32"/>
        </w:rPr>
      </w:pPr>
      <w:r>
        <w:rPr>
          <w:rFonts w:hint="default" w:ascii="Times New Roman" w:hAnsi="Times New Roman" w:eastAsia="楷体_GB2312" w:cs="Times New Roman"/>
          <w:b/>
          <w:sz w:val="32"/>
          <w:szCs w:val="32"/>
        </w:rPr>
        <w:t>（五）国有资产占用使用及新增资产配置情况：</w:t>
      </w:r>
      <w:r>
        <w:rPr>
          <w:rFonts w:hint="default" w:ascii="Times New Roman" w:hAnsi="Times New Roman" w:eastAsia="仿宋_GB2312" w:cs="Times New Roman"/>
          <w:sz w:val="32"/>
          <w:szCs w:val="32"/>
        </w:rPr>
        <w:t>截至</w:t>
      </w:r>
      <w:r>
        <w:rPr>
          <w:rFonts w:hint="eastAsia" w:ascii="Times New Roman" w:hAnsi="Times New Roman" w:eastAsia="仿宋_GB2312" w:cs="Times New Roman"/>
          <w:sz w:val="32"/>
          <w:szCs w:val="32"/>
          <w:lang w:eastAsia="zh-CN"/>
        </w:rPr>
        <w:t>2024年</w:t>
      </w:r>
      <w:r>
        <w:rPr>
          <w:rFonts w:hint="default" w:ascii="Times New Roman" w:hAnsi="Times New Roman" w:eastAsia="仿宋_GB2312" w:cs="Times New Roman"/>
          <w:sz w:val="32"/>
          <w:szCs w:val="32"/>
        </w:rPr>
        <w:t>12月底，本部门</w:t>
      </w:r>
      <w:r>
        <w:rPr>
          <w:rFonts w:hint="default" w:ascii="Times New Roman" w:hAnsi="Times New Roman" w:eastAsia="仿宋_GB2312" w:cs="Times New Roman"/>
          <w:bCs/>
          <w:kern w:val="0"/>
          <w:sz w:val="32"/>
          <w:szCs w:val="32"/>
        </w:rPr>
        <w:t>共有公务用车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辆，其中，机要通信用车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辆，应急保障用车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辆，执法执勤用车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辆，特种专业技术用车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辆，其他按照规定配备的公务用车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辆；单位价值50万元以上通用设备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台，单位价值100万元以上专用设备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w:t>
      </w:r>
      <w:r>
        <w:rPr>
          <w:rFonts w:hint="eastAsia" w:ascii="Times New Roman" w:hAnsi="Times New Roman" w:eastAsia="仿宋_GB2312" w:cs="Times New Roman"/>
          <w:bCs/>
          <w:kern w:val="0"/>
          <w:sz w:val="32"/>
          <w:szCs w:val="32"/>
          <w:lang w:eastAsia="zh-CN"/>
        </w:rPr>
        <w:t>2025年</w:t>
      </w:r>
      <w:r>
        <w:rPr>
          <w:rFonts w:hint="default" w:ascii="Times New Roman" w:hAnsi="Times New Roman" w:eastAsia="仿宋_GB2312" w:cs="Times New Roman"/>
          <w:bCs/>
          <w:kern w:val="0"/>
          <w:sz w:val="32"/>
          <w:szCs w:val="32"/>
        </w:rPr>
        <w:t>拟新增配置公务用车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辆，其中，机要通信用车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辆，应急保障用车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辆，执法执勤用车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辆，特种专业技术用车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辆，其他按照规定配备的公务用车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辆；新增配备单位价值50万元以上通用设备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台，单位价值100万元以上专用设备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w:t>
      </w:r>
    </w:p>
    <w:p w14:paraId="0A6B1C29">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Cs/>
          <w:kern w:val="0"/>
          <w:sz w:val="32"/>
          <w:szCs w:val="32"/>
        </w:rPr>
      </w:pPr>
      <w:r>
        <w:rPr>
          <w:rFonts w:hint="default" w:ascii="Times New Roman" w:hAnsi="Times New Roman" w:eastAsia="楷体_GB2312" w:cs="Times New Roman"/>
          <w:b/>
          <w:bCs/>
          <w:kern w:val="0"/>
          <w:sz w:val="32"/>
          <w:szCs w:val="32"/>
        </w:rPr>
        <w:t>（六）预算绩效目标说明：</w:t>
      </w:r>
      <w:r>
        <w:rPr>
          <w:rFonts w:hint="default" w:ascii="Times New Roman" w:hAnsi="Times New Roman" w:eastAsia="仿宋_GB2312" w:cs="Times New Roman"/>
          <w:bCs/>
          <w:kern w:val="0"/>
          <w:sz w:val="32"/>
          <w:szCs w:val="32"/>
        </w:rPr>
        <w:t>本部门所有支出实行绩效目标管理。纳入</w:t>
      </w:r>
      <w:r>
        <w:rPr>
          <w:rFonts w:hint="eastAsia" w:ascii="Times New Roman" w:hAnsi="Times New Roman" w:eastAsia="仿宋_GB2312" w:cs="Times New Roman"/>
          <w:bCs/>
          <w:kern w:val="0"/>
          <w:sz w:val="32"/>
          <w:szCs w:val="32"/>
          <w:lang w:eastAsia="zh-CN"/>
        </w:rPr>
        <w:t>2025年</w:t>
      </w:r>
      <w:r>
        <w:rPr>
          <w:rFonts w:hint="default" w:ascii="Times New Roman" w:hAnsi="Times New Roman" w:eastAsia="仿宋_GB2312" w:cs="Times New Roman"/>
          <w:bCs/>
          <w:kern w:val="0"/>
          <w:sz w:val="32"/>
          <w:szCs w:val="32"/>
        </w:rPr>
        <w:t>部门整体支出绩效目标的金额为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bCs/>
          <w:kern w:val="0"/>
          <w:sz w:val="32"/>
          <w:szCs w:val="32"/>
        </w:rPr>
        <w:t>万元，其中，基本支出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bCs/>
          <w:kern w:val="0"/>
          <w:sz w:val="32"/>
          <w:szCs w:val="32"/>
        </w:rPr>
        <w:t>万元，项目支出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bCs/>
          <w:kern w:val="0"/>
          <w:sz w:val="32"/>
          <w:szCs w:val="32"/>
        </w:rPr>
        <w:t>万元，具体绩效目标详见报表。</w:t>
      </w:r>
    </w:p>
    <w:p w14:paraId="4028E7E8">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七、名词解释</w:t>
      </w:r>
    </w:p>
    <w:p w14:paraId="313C1B96">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43258003">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3673A5B7">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b/>
          <w:bCs/>
          <w:sz w:val="32"/>
          <w:szCs w:val="32"/>
        </w:rPr>
        <w:t>（注：各</w:t>
      </w:r>
      <w:r>
        <w:rPr>
          <w:rFonts w:hint="eastAsia" w:ascii="Times New Roman" w:hAnsi="Times New Roman" w:eastAsia="仿宋_GB2312" w:cs="Times New Roman"/>
          <w:b/>
          <w:bCs/>
          <w:sz w:val="32"/>
          <w:szCs w:val="32"/>
          <w:lang w:eastAsia="zh-CN"/>
        </w:rPr>
        <w:t>部门可根据实际</w:t>
      </w:r>
      <w:r>
        <w:rPr>
          <w:rFonts w:hint="default" w:ascii="Times New Roman" w:hAnsi="Times New Roman" w:eastAsia="仿宋_GB2312" w:cs="Times New Roman"/>
          <w:b/>
          <w:bCs/>
          <w:sz w:val="32"/>
          <w:szCs w:val="32"/>
        </w:rPr>
        <w:t>对本</w:t>
      </w:r>
      <w:r>
        <w:rPr>
          <w:rFonts w:hint="eastAsia" w:ascii="Times New Roman" w:hAnsi="Times New Roman" w:eastAsia="仿宋_GB2312" w:cs="Times New Roman"/>
          <w:b/>
          <w:bCs/>
          <w:sz w:val="32"/>
          <w:szCs w:val="32"/>
          <w:lang w:eastAsia="zh-CN"/>
        </w:rPr>
        <w:t>部门</w:t>
      </w:r>
      <w:r>
        <w:rPr>
          <w:rFonts w:hint="default" w:ascii="Times New Roman" w:hAnsi="Times New Roman" w:eastAsia="仿宋_GB2312" w:cs="Times New Roman"/>
          <w:b/>
          <w:bCs/>
          <w:sz w:val="32"/>
          <w:szCs w:val="32"/>
        </w:rPr>
        <w:t>预算中其他专有名词作出说明，便于公众理解）</w:t>
      </w:r>
    </w:p>
    <w:p w14:paraId="718C1344">
      <w:pPr>
        <w:widowControl/>
        <w:spacing w:line="600" w:lineRule="exact"/>
        <w:ind w:firstLine="636" w:firstLineChars="200"/>
        <w:jc w:val="left"/>
        <w:rPr>
          <w:rFonts w:hint="default" w:ascii="Times New Roman" w:hAnsi="Times New Roman" w:eastAsia="仿宋_GB2312" w:cs="Times New Roman"/>
          <w:b/>
          <w:bCs/>
          <w:kern w:val="0"/>
          <w:sz w:val="32"/>
          <w:szCs w:val="32"/>
        </w:rPr>
      </w:pPr>
    </w:p>
    <w:p w14:paraId="2E439DCE">
      <w:pPr>
        <w:widowControl/>
        <w:spacing w:line="600" w:lineRule="exact"/>
        <w:jc w:val="left"/>
        <w:rPr>
          <w:rFonts w:hint="default" w:ascii="Times New Roman" w:hAnsi="Times New Roman" w:eastAsia="仿宋_GB2312" w:cs="Times New Roman"/>
          <w:b/>
          <w:bCs/>
          <w:kern w:val="0"/>
          <w:sz w:val="32"/>
          <w:szCs w:val="32"/>
        </w:rPr>
        <w:sectPr>
          <w:pgSz w:w="11907" w:h="16840"/>
          <w:pgMar w:top="1417" w:right="1587" w:bottom="1417" w:left="1587" w:header="851" w:footer="992" w:gutter="0"/>
          <w:cols w:space="720" w:num="1"/>
          <w:docGrid w:type="linesAndChars" w:linePitch="495" w:charSpace="-594"/>
        </w:sectPr>
      </w:pPr>
    </w:p>
    <w:p w14:paraId="0D13C490">
      <w:pPr>
        <w:widowControl/>
        <w:spacing w:line="600" w:lineRule="exact"/>
        <w:ind w:firstLine="716" w:firstLineChars="200"/>
        <w:jc w:val="center"/>
        <w:rPr>
          <w:rFonts w:hint="default" w:ascii="Times New Roman" w:hAnsi="Times New Roman" w:eastAsia="方正小标宋_GBK" w:cs="Times New Roman"/>
          <w:bCs/>
          <w:kern w:val="0"/>
          <w:sz w:val="36"/>
          <w:szCs w:val="36"/>
        </w:rPr>
      </w:pPr>
      <w:r>
        <w:rPr>
          <w:rFonts w:hint="default" w:ascii="Times New Roman" w:hAnsi="Times New Roman" w:eastAsia="方正小标宋_GBK" w:cs="Times New Roman"/>
          <w:bCs/>
          <w:kern w:val="0"/>
          <w:sz w:val="36"/>
          <w:szCs w:val="36"/>
        </w:rPr>
        <w:t xml:space="preserve">第二部分 </w:t>
      </w:r>
      <w:r>
        <w:rPr>
          <w:rFonts w:hint="eastAsia" w:ascii="Times New Roman" w:hAnsi="Times New Roman" w:eastAsia="方正小标宋_GBK" w:cs="Times New Roman"/>
          <w:bCs/>
          <w:kern w:val="0"/>
          <w:sz w:val="36"/>
          <w:szCs w:val="36"/>
          <w:lang w:eastAsia="zh-CN"/>
        </w:rPr>
        <w:t>2025年</w:t>
      </w:r>
      <w:r>
        <w:rPr>
          <w:rFonts w:hint="default" w:ascii="Times New Roman" w:hAnsi="Times New Roman" w:eastAsia="方正小标宋_GBK" w:cs="Times New Roman"/>
          <w:bCs/>
          <w:kern w:val="0"/>
          <w:sz w:val="36"/>
          <w:szCs w:val="36"/>
        </w:rPr>
        <w:t>部门预算表</w:t>
      </w:r>
    </w:p>
    <w:p w14:paraId="475EF8B0">
      <w:pPr>
        <w:widowControl/>
        <w:spacing w:line="600" w:lineRule="exact"/>
        <w:jc w:val="left"/>
        <w:rPr>
          <w:rFonts w:hint="default" w:ascii="Times New Roman" w:hAnsi="Times New Roman" w:eastAsia="黑体" w:cs="Times New Roman"/>
          <w:sz w:val="32"/>
          <w:szCs w:val="32"/>
        </w:rPr>
      </w:pPr>
    </w:p>
    <w:p w14:paraId="587D9401">
      <w:pPr>
        <w:widowControl/>
        <w:spacing w:line="600" w:lineRule="exact"/>
        <w:jc w:val="left"/>
        <w:rPr>
          <w:rFonts w:hint="default" w:ascii="Times New Roman" w:hAnsi="Times New Roman" w:eastAsia="黑体" w:cs="Times New Roman"/>
          <w:sz w:val="32"/>
          <w:szCs w:val="32"/>
        </w:rPr>
      </w:pPr>
    </w:p>
    <w:p w14:paraId="6D32F976">
      <w:pPr>
        <w:widowControl/>
        <w:spacing w:line="600" w:lineRule="exact"/>
        <w:jc w:val="left"/>
        <w:rPr>
          <w:rFonts w:hint="default" w:ascii="Times New Roman" w:hAnsi="Times New Roman" w:eastAsia="黑体" w:cs="Times New Roman"/>
          <w:sz w:val="32"/>
          <w:szCs w:val="32"/>
        </w:rPr>
      </w:pPr>
    </w:p>
    <w:p w14:paraId="644D0980">
      <w:pPr>
        <w:widowControl/>
        <w:spacing w:line="600" w:lineRule="exact"/>
        <w:jc w:val="left"/>
        <w:rPr>
          <w:rFonts w:hint="default" w:ascii="Times New Roman" w:hAnsi="Times New Roman" w:eastAsia="黑体" w:cs="Times New Roman"/>
          <w:sz w:val="32"/>
          <w:szCs w:val="32"/>
        </w:rPr>
      </w:pPr>
    </w:p>
    <w:p w14:paraId="482E861B">
      <w:pPr>
        <w:widowControl/>
        <w:spacing w:line="600" w:lineRule="exact"/>
        <w:jc w:val="left"/>
        <w:rPr>
          <w:rFonts w:hint="default" w:ascii="Times New Roman" w:hAnsi="Times New Roman" w:eastAsia="黑体" w:cs="Times New Roman"/>
          <w:sz w:val="32"/>
          <w:szCs w:val="32"/>
        </w:rPr>
      </w:pPr>
    </w:p>
    <w:p w14:paraId="56E00409">
      <w:pPr>
        <w:widowControl/>
        <w:spacing w:line="600" w:lineRule="exact"/>
        <w:jc w:val="left"/>
        <w:rPr>
          <w:rFonts w:hint="default" w:ascii="Times New Roman" w:hAnsi="Times New Roman" w:eastAsia="黑体" w:cs="Times New Roman"/>
          <w:sz w:val="32"/>
          <w:szCs w:val="32"/>
        </w:rPr>
      </w:pPr>
    </w:p>
    <w:p w14:paraId="51FDE19E">
      <w:pPr>
        <w:widowControl/>
        <w:spacing w:line="600" w:lineRule="exact"/>
        <w:jc w:val="left"/>
        <w:rPr>
          <w:rFonts w:hint="default" w:ascii="Times New Roman" w:hAnsi="Times New Roman" w:eastAsia="黑体" w:cs="Times New Roman"/>
          <w:sz w:val="32"/>
          <w:szCs w:val="32"/>
        </w:rPr>
      </w:pPr>
    </w:p>
    <w:p w14:paraId="3052BFC0">
      <w:pPr>
        <w:widowControl/>
        <w:spacing w:line="600" w:lineRule="exact"/>
        <w:jc w:val="left"/>
        <w:rPr>
          <w:rFonts w:hint="default" w:ascii="Times New Roman" w:hAnsi="Times New Roman" w:eastAsia="黑体" w:cs="Times New Roman"/>
          <w:sz w:val="32"/>
          <w:szCs w:val="32"/>
        </w:rPr>
      </w:pPr>
    </w:p>
    <w:p w14:paraId="1D02D0E2">
      <w:pPr>
        <w:widowControl/>
        <w:spacing w:line="600" w:lineRule="exact"/>
        <w:jc w:val="left"/>
        <w:rPr>
          <w:rFonts w:hint="default" w:ascii="Times New Roman" w:hAnsi="Times New Roman" w:eastAsia="黑体" w:cs="Times New Roman"/>
          <w:sz w:val="32"/>
          <w:szCs w:val="32"/>
        </w:rPr>
      </w:pPr>
    </w:p>
    <w:p w14:paraId="393FB7BB">
      <w:pPr>
        <w:widowControl/>
        <w:spacing w:line="600" w:lineRule="exact"/>
        <w:jc w:val="left"/>
        <w:rPr>
          <w:rFonts w:hint="default" w:ascii="Times New Roman" w:hAnsi="Times New Roman" w:eastAsia="黑体" w:cs="Times New Roman"/>
          <w:sz w:val="32"/>
          <w:szCs w:val="32"/>
        </w:rPr>
      </w:pPr>
    </w:p>
    <w:p w14:paraId="49AA34EF">
      <w:pPr>
        <w:widowControl/>
        <w:spacing w:line="600" w:lineRule="exact"/>
        <w:jc w:val="left"/>
        <w:rPr>
          <w:rFonts w:hint="default" w:ascii="Times New Roman" w:hAnsi="Times New Roman" w:eastAsia="黑体" w:cs="Times New Roman"/>
          <w:sz w:val="32"/>
          <w:szCs w:val="32"/>
        </w:rPr>
      </w:pPr>
    </w:p>
    <w:p w14:paraId="3C4BC099">
      <w:pPr>
        <w:widowControl/>
        <w:spacing w:line="600" w:lineRule="exact"/>
        <w:jc w:val="left"/>
        <w:rPr>
          <w:rFonts w:hint="default" w:ascii="Times New Roman" w:hAnsi="Times New Roman" w:eastAsia="黑体" w:cs="Times New Roman"/>
          <w:sz w:val="32"/>
          <w:szCs w:val="32"/>
        </w:rPr>
      </w:pPr>
    </w:p>
    <w:p w14:paraId="5EA79B53">
      <w:pPr>
        <w:widowControl/>
        <w:spacing w:line="600" w:lineRule="exact"/>
        <w:jc w:val="left"/>
        <w:rPr>
          <w:rFonts w:hint="default" w:ascii="Times New Roman" w:hAnsi="Times New Roman" w:eastAsia="黑体" w:cs="Times New Roman"/>
          <w:sz w:val="32"/>
          <w:szCs w:val="32"/>
        </w:rPr>
      </w:pPr>
    </w:p>
    <w:p w14:paraId="6E46CAED">
      <w:pPr>
        <w:widowControl/>
        <w:spacing w:line="600" w:lineRule="exact"/>
        <w:jc w:val="left"/>
        <w:rPr>
          <w:rFonts w:hint="default" w:ascii="Times New Roman" w:hAnsi="Times New Roman" w:eastAsia="黑体" w:cs="Times New Roman"/>
          <w:sz w:val="32"/>
          <w:szCs w:val="32"/>
        </w:rPr>
      </w:pPr>
    </w:p>
    <w:p w14:paraId="7B2CA28C">
      <w:pPr>
        <w:widowControl/>
        <w:spacing w:line="600" w:lineRule="exact"/>
        <w:jc w:val="left"/>
        <w:rPr>
          <w:rFonts w:hint="default" w:ascii="Times New Roman" w:hAnsi="Times New Roman" w:eastAsia="黑体" w:cs="Times New Roman"/>
          <w:sz w:val="32"/>
          <w:szCs w:val="32"/>
        </w:rPr>
      </w:pPr>
    </w:p>
    <w:p w14:paraId="5E8E87BD">
      <w:pPr>
        <w:widowControl/>
        <w:spacing w:line="600" w:lineRule="exact"/>
        <w:jc w:val="left"/>
        <w:rPr>
          <w:rFonts w:hint="default" w:ascii="Times New Roman" w:hAnsi="Times New Roman" w:eastAsia="黑体" w:cs="Times New Roman"/>
          <w:sz w:val="32"/>
          <w:szCs w:val="32"/>
        </w:rPr>
      </w:pPr>
    </w:p>
    <w:p w14:paraId="346BC4D8">
      <w:pPr>
        <w:widowControl/>
        <w:spacing w:line="600" w:lineRule="exact"/>
        <w:jc w:val="left"/>
        <w:rPr>
          <w:rFonts w:hint="eastAsia" w:ascii="Times New Roman" w:hAnsi="Times New Roman" w:eastAsia="黑体" w:cs="Times New Roman"/>
          <w:sz w:val="32"/>
          <w:szCs w:val="32"/>
          <w:lang w:eastAsia="zh-CN"/>
        </w:rPr>
      </w:pPr>
    </w:p>
    <w:p w14:paraId="01A2594E">
      <w:pPr>
        <w:widowControl/>
        <w:spacing w:line="600" w:lineRule="exact"/>
        <w:jc w:val="left"/>
        <w:rPr>
          <w:rFonts w:hint="eastAsia" w:ascii="Times New Roman" w:hAnsi="Times New Roman" w:eastAsia="黑体" w:cs="Times New Roman"/>
          <w:sz w:val="32"/>
          <w:szCs w:val="32"/>
          <w:lang w:eastAsia="zh-CN"/>
        </w:rPr>
      </w:pPr>
    </w:p>
    <w:p w14:paraId="51BC4A40">
      <w:pPr>
        <w:widowControl/>
        <w:spacing w:line="600" w:lineRule="exact"/>
        <w:jc w:val="left"/>
        <w:rPr>
          <w:rFonts w:hint="eastAsia" w:ascii="Times New Roman" w:hAnsi="Times New Roman" w:eastAsia="黑体" w:cs="Times New Roman"/>
          <w:sz w:val="32"/>
          <w:szCs w:val="32"/>
          <w:lang w:eastAsia="zh-CN"/>
        </w:rPr>
      </w:pPr>
    </w:p>
    <w:p w14:paraId="522821FD">
      <w:pPr>
        <w:widowControl/>
        <w:spacing w:line="600" w:lineRule="exact"/>
        <w:jc w:val="left"/>
        <w:rPr>
          <w:rFonts w:hint="eastAsia" w:ascii="Times New Roman" w:hAnsi="Times New Roman" w:eastAsia="黑体" w:cs="Times New Roman"/>
          <w:sz w:val="32"/>
          <w:szCs w:val="32"/>
          <w:lang w:eastAsia="zh-CN"/>
        </w:rPr>
      </w:pPr>
    </w:p>
    <w:p w14:paraId="4A29F966">
      <w:pPr>
        <w:widowControl/>
        <w:spacing w:line="600" w:lineRule="exact"/>
        <w:jc w:val="left"/>
        <w:rPr>
          <w:rFonts w:hint="eastAsia" w:ascii="Times New Roman" w:hAnsi="Times New Roman" w:eastAsia="黑体" w:cs="Times New Roman"/>
          <w:sz w:val="32"/>
          <w:szCs w:val="32"/>
          <w:lang w:eastAsia="zh-CN"/>
        </w:rPr>
      </w:pPr>
    </w:p>
    <w:p w14:paraId="1B78F000">
      <w:pPr>
        <w:widowControl/>
        <w:spacing w:line="600" w:lineRule="exact"/>
        <w:jc w:val="left"/>
        <w:rPr>
          <w:rFonts w:hint="eastAsia" w:ascii="Times New Roman" w:hAnsi="Times New Roman" w:eastAsia="黑体" w:cs="Times New Roman"/>
          <w:sz w:val="32"/>
          <w:szCs w:val="32"/>
          <w:lang w:eastAsia="zh-CN"/>
        </w:rPr>
      </w:pPr>
    </w:p>
    <w:p w14:paraId="7608AAB0">
      <w:pPr>
        <w:widowControl/>
        <w:spacing w:line="600" w:lineRule="exact"/>
        <w:jc w:val="left"/>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3</w:t>
      </w:r>
    </w:p>
    <w:p w14:paraId="466A6487">
      <w:pPr>
        <w:widowControl/>
        <w:spacing w:line="600" w:lineRule="exact"/>
        <w:jc w:val="center"/>
        <w:rPr>
          <w:rFonts w:hint="default"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lang w:eastAsia="zh-CN"/>
        </w:rPr>
        <w:t>2025年</w:t>
      </w:r>
      <w:r>
        <w:rPr>
          <w:rFonts w:hint="default" w:ascii="Times New Roman" w:hAnsi="Times New Roman" w:eastAsia="方正小标宋_GBK" w:cs="Times New Roman"/>
          <w:bCs/>
          <w:kern w:val="0"/>
          <w:sz w:val="36"/>
          <w:szCs w:val="36"/>
        </w:rPr>
        <w:t>×××</w:t>
      </w:r>
      <w:r>
        <w:rPr>
          <w:rFonts w:hint="default" w:ascii="Times New Roman" w:hAnsi="Times New Roman" w:eastAsia="方正小标宋_GBK" w:cs="Times New Roman"/>
          <w:bCs/>
          <w:kern w:val="0"/>
          <w:sz w:val="44"/>
          <w:szCs w:val="44"/>
        </w:rPr>
        <w:t>单位预算</w:t>
      </w:r>
    </w:p>
    <w:p w14:paraId="48B64FDE">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（参考模板）</w:t>
      </w:r>
    </w:p>
    <w:p w14:paraId="2E766669">
      <w:pPr>
        <w:widowControl/>
        <w:spacing w:line="600" w:lineRule="exact"/>
        <w:jc w:val="center"/>
        <w:rPr>
          <w:rFonts w:hint="default" w:ascii="Times New Roman" w:hAnsi="Times New Roman" w:eastAsia="楷体_GB2312" w:cs="Times New Roman"/>
          <w:bCs/>
          <w:kern w:val="0"/>
          <w:sz w:val="32"/>
          <w:szCs w:val="32"/>
        </w:rPr>
      </w:pPr>
    </w:p>
    <w:p w14:paraId="4CA55DAA">
      <w:pPr>
        <w:widowControl/>
        <w:spacing w:line="600" w:lineRule="exact"/>
        <w:jc w:val="center"/>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目 录</w:t>
      </w:r>
    </w:p>
    <w:p w14:paraId="61D3848C">
      <w:pPr>
        <w:widowControl/>
        <w:spacing w:line="600" w:lineRule="exact"/>
        <w:jc w:val="left"/>
        <w:rPr>
          <w:rFonts w:hint="default" w:ascii="Times New Roman" w:hAnsi="Times New Roman" w:eastAsia="黑体" w:cs="Times New Roman"/>
          <w:bCs/>
          <w:kern w:val="0"/>
          <w:sz w:val="32"/>
          <w:szCs w:val="32"/>
        </w:rPr>
      </w:pPr>
    </w:p>
    <w:p w14:paraId="46C09F56">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方正小标宋_GBK" w:cs="Times New Roman"/>
          <w:b/>
          <w:bCs/>
          <w:kern w:val="0"/>
          <w:sz w:val="32"/>
          <w:szCs w:val="32"/>
        </w:rPr>
      </w:pPr>
      <w:r>
        <w:rPr>
          <w:rFonts w:hint="default" w:ascii="Times New Roman" w:hAnsi="Times New Roman" w:eastAsia="仿宋_GB2312" w:cs="Times New Roman"/>
          <w:b/>
          <w:bCs/>
          <w:kern w:val="0"/>
          <w:sz w:val="32"/>
          <w:szCs w:val="32"/>
        </w:rPr>
        <w:t xml:space="preserve">第一部分 </w:t>
      </w:r>
      <w:r>
        <w:rPr>
          <w:rFonts w:hint="eastAsia" w:ascii="Times New Roman" w:hAnsi="Times New Roman" w:eastAsia="方正小标宋_GBK" w:cs="Times New Roman"/>
          <w:b/>
          <w:bCs/>
          <w:kern w:val="0"/>
          <w:sz w:val="32"/>
          <w:szCs w:val="32"/>
          <w:lang w:eastAsia="zh-CN"/>
        </w:rPr>
        <w:t>2025</w:t>
      </w:r>
      <w:r>
        <w:rPr>
          <w:rFonts w:hint="eastAsia" w:ascii="Times New Roman" w:hAnsi="Times New Roman" w:eastAsia="仿宋_GB2312" w:cs="Times New Roman"/>
          <w:b/>
          <w:bCs/>
          <w:kern w:val="0"/>
          <w:sz w:val="32"/>
          <w:szCs w:val="32"/>
          <w:lang w:eastAsia="zh-CN"/>
        </w:rPr>
        <w:t>年</w:t>
      </w:r>
      <w:r>
        <w:rPr>
          <w:rFonts w:hint="default" w:ascii="Times New Roman" w:hAnsi="Times New Roman" w:eastAsia="仿宋_GB2312" w:cs="Times New Roman"/>
          <w:b/>
          <w:bCs/>
          <w:kern w:val="0"/>
          <w:sz w:val="32"/>
          <w:szCs w:val="32"/>
        </w:rPr>
        <w:t>单位预算说明</w:t>
      </w:r>
    </w:p>
    <w:p w14:paraId="505D80B8">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 xml:space="preserve">第二部分 </w:t>
      </w:r>
      <w:r>
        <w:rPr>
          <w:rFonts w:hint="eastAsia" w:ascii="Times New Roman" w:hAnsi="Times New Roman" w:eastAsia="仿宋_GB2312" w:cs="Times New Roman"/>
          <w:b/>
          <w:bCs/>
          <w:kern w:val="0"/>
          <w:sz w:val="32"/>
          <w:szCs w:val="32"/>
          <w:lang w:eastAsia="zh-CN"/>
        </w:rPr>
        <w:t>2025年</w:t>
      </w:r>
      <w:r>
        <w:rPr>
          <w:rFonts w:hint="default" w:ascii="Times New Roman" w:hAnsi="Times New Roman" w:eastAsia="仿宋_GB2312" w:cs="Times New Roman"/>
          <w:b/>
          <w:bCs/>
          <w:kern w:val="0"/>
          <w:sz w:val="32"/>
          <w:szCs w:val="32"/>
        </w:rPr>
        <w:t>单位预算表</w:t>
      </w:r>
    </w:p>
    <w:p w14:paraId="18AE44B7">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1、收支总表</w:t>
      </w:r>
    </w:p>
    <w:p w14:paraId="3C682E92">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2、收入总表</w:t>
      </w:r>
    </w:p>
    <w:p w14:paraId="1F5DF089">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3、支出总表</w:t>
      </w:r>
    </w:p>
    <w:p w14:paraId="21F32491">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4、支出预算分类汇总表（按政府预算经济分类）</w:t>
      </w:r>
    </w:p>
    <w:p w14:paraId="3576EFC7">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5、支出预算分类汇总表（按部门预算经济分类）</w:t>
      </w:r>
    </w:p>
    <w:p w14:paraId="515C2701">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6、财政拨款收支总表</w:t>
      </w:r>
    </w:p>
    <w:p w14:paraId="2D4B57A0">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7、一般公共预算支出表</w:t>
      </w:r>
    </w:p>
    <w:p w14:paraId="52E24BC4">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8、一般公共预算基本支出表-人员经费（工资福利支出）（按政府预算经济分类）</w:t>
      </w:r>
    </w:p>
    <w:p w14:paraId="050A95E9">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9、一般公共预算基本支出表-人员经费（工资福利支出）（按部门预算经济分类）</w:t>
      </w:r>
    </w:p>
    <w:p w14:paraId="5EA1479D">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10、一般公共预算基本支出表-人员经费（对个人和家庭的补助）（按政府预算经济分类）</w:t>
      </w:r>
    </w:p>
    <w:p w14:paraId="33658CC8">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11、一般公共预算基本支出表-人员经费（对个人和家庭的补助）（按部门预算经济分类）</w:t>
      </w:r>
    </w:p>
    <w:p w14:paraId="0F7A749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12、一般公共预算基本支出表-公用经费（商品和服务支出）（按政府预算经济分类）</w:t>
      </w:r>
    </w:p>
    <w:p w14:paraId="227C937B">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13、一般公共预算基本支出表-公用经费（商品和服务支出）（按部门预算经济分类）</w:t>
      </w:r>
    </w:p>
    <w:p w14:paraId="57DF959B">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14、一般公共预算“三公”经费支出表</w:t>
      </w:r>
    </w:p>
    <w:p w14:paraId="752B4006">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15、政府性基金预算支出表</w:t>
      </w:r>
    </w:p>
    <w:p w14:paraId="24265A8E">
      <w:pPr>
        <w:keepNext w:val="0"/>
        <w:keepLines w:val="0"/>
        <w:pageBreakBefore w:val="0"/>
        <w:widowControl/>
        <w:kinsoku/>
        <w:wordWrap/>
        <w:overflowPunct/>
        <w:topLinePunct w:val="0"/>
        <w:autoSpaceDE/>
        <w:autoSpaceDN/>
        <w:bidi w:val="0"/>
        <w:adjustRightInd/>
        <w:snapToGrid/>
        <w:spacing w:line="600" w:lineRule="exact"/>
        <w:ind w:firstLine="592" w:firstLineChars="200"/>
        <w:jc w:val="left"/>
        <w:textAlignment w:val="auto"/>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pacing w:val="-11"/>
          <w:sz w:val="32"/>
          <w:szCs w:val="32"/>
        </w:rPr>
        <w:t>16、政府性基金预算支出分类汇总表（按政府预算经济分类）</w:t>
      </w:r>
    </w:p>
    <w:p w14:paraId="37792313">
      <w:pPr>
        <w:keepNext w:val="0"/>
        <w:keepLines w:val="0"/>
        <w:pageBreakBefore w:val="0"/>
        <w:widowControl/>
        <w:kinsoku/>
        <w:wordWrap/>
        <w:overflowPunct/>
        <w:topLinePunct w:val="0"/>
        <w:autoSpaceDE/>
        <w:autoSpaceDN/>
        <w:bidi w:val="0"/>
        <w:adjustRightInd/>
        <w:snapToGrid/>
        <w:spacing w:line="600" w:lineRule="exact"/>
        <w:ind w:firstLine="592"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17、政府性基金预算支出分类汇总表（按部门预算经济分类）</w:t>
      </w:r>
    </w:p>
    <w:p w14:paraId="45D630B8">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18、国有资本经营预算支出表</w:t>
      </w:r>
    </w:p>
    <w:p w14:paraId="042E73A4">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19、财政专户管理资金预算支出表</w:t>
      </w:r>
    </w:p>
    <w:p w14:paraId="5A952B45">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20、省级专项资金预算汇总表</w:t>
      </w:r>
    </w:p>
    <w:p w14:paraId="1826516D">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21、省级专项资金绩效目标表</w:t>
      </w:r>
    </w:p>
    <w:p w14:paraId="19F02BD9">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22、其他项目支出绩效目标表</w:t>
      </w:r>
    </w:p>
    <w:p w14:paraId="4AB7691C">
      <w:pPr>
        <w:keepNext w:val="0"/>
        <w:keepLines w:val="0"/>
        <w:pageBreakBefore w:val="0"/>
        <w:widowControl/>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23、部门整体支出绩效目标表</w:t>
      </w:r>
    </w:p>
    <w:p w14:paraId="061DE071">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bCs w:val="0"/>
          <w:kern w:val="0"/>
          <w:sz w:val="32"/>
          <w:szCs w:val="32"/>
        </w:rPr>
      </w:pPr>
      <w:r>
        <w:rPr>
          <w:rFonts w:hint="default" w:ascii="Times New Roman" w:hAnsi="Times New Roman" w:eastAsia="仿宋_GB2312" w:cs="Times New Roman"/>
          <w:b/>
          <w:bCs w:val="0"/>
          <w:kern w:val="0"/>
          <w:sz w:val="32"/>
          <w:szCs w:val="32"/>
        </w:rPr>
        <w:t>注：</w:t>
      </w:r>
    </w:p>
    <w:p w14:paraId="019D32B2">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bCs w:val="0"/>
          <w:kern w:val="0"/>
          <w:sz w:val="32"/>
          <w:szCs w:val="32"/>
        </w:rPr>
      </w:pPr>
      <w:r>
        <w:rPr>
          <w:rFonts w:hint="eastAsia" w:ascii="Times New Roman" w:hAnsi="Times New Roman" w:eastAsia="仿宋_GB2312" w:cs="Times New Roman"/>
          <w:b/>
          <w:bCs w:val="0"/>
          <w:kern w:val="0"/>
          <w:sz w:val="32"/>
          <w:szCs w:val="32"/>
          <w:lang w:val="en-US" w:eastAsia="zh-CN"/>
        </w:rPr>
        <w:t>1、</w:t>
      </w:r>
      <w:r>
        <w:rPr>
          <w:rFonts w:hint="default" w:ascii="Times New Roman" w:hAnsi="Times New Roman" w:eastAsia="仿宋_GB2312" w:cs="Times New Roman"/>
          <w:b/>
          <w:bCs w:val="0"/>
          <w:kern w:val="0"/>
          <w:sz w:val="32"/>
          <w:szCs w:val="32"/>
        </w:rPr>
        <w:t>以上</w:t>
      </w:r>
      <w:r>
        <w:rPr>
          <w:rFonts w:hint="eastAsia" w:ascii="Times New Roman" w:hAnsi="Times New Roman" w:eastAsia="仿宋_GB2312" w:cs="Times New Roman"/>
          <w:b/>
          <w:bCs w:val="0"/>
          <w:kern w:val="0"/>
          <w:sz w:val="32"/>
          <w:szCs w:val="32"/>
          <w:lang w:eastAsia="zh-CN"/>
        </w:rPr>
        <w:t>单位</w:t>
      </w:r>
      <w:r>
        <w:rPr>
          <w:rFonts w:hint="default" w:ascii="Times New Roman" w:hAnsi="Times New Roman" w:eastAsia="仿宋_GB2312" w:cs="Times New Roman"/>
          <w:b/>
          <w:bCs w:val="0"/>
          <w:kern w:val="0"/>
          <w:sz w:val="32"/>
          <w:szCs w:val="32"/>
        </w:rPr>
        <w:t>预算报表中，</w:t>
      </w:r>
      <w:r>
        <w:rPr>
          <w:rFonts w:hint="default" w:ascii="Times New Roman" w:hAnsi="Times New Roman" w:eastAsia="仿宋_GB2312" w:cs="Times New Roman"/>
          <w:b/>
          <w:bCs w:val="0"/>
          <w:kern w:val="0"/>
          <w:sz w:val="32"/>
          <w:szCs w:val="32"/>
          <w:lang w:eastAsia="zh-CN"/>
        </w:rPr>
        <w:t>如</w:t>
      </w:r>
      <w:r>
        <w:rPr>
          <w:rFonts w:hint="default" w:ascii="Times New Roman" w:hAnsi="Times New Roman" w:eastAsia="仿宋_GB2312" w:cs="Times New Roman"/>
          <w:b/>
          <w:bCs w:val="0"/>
          <w:kern w:val="0"/>
          <w:sz w:val="32"/>
          <w:szCs w:val="32"/>
        </w:rPr>
        <w:t>本</w:t>
      </w:r>
      <w:r>
        <w:rPr>
          <w:rFonts w:hint="eastAsia" w:ascii="Times New Roman" w:hAnsi="Times New Roman" w:eastAsia="仿宋_GB2312" w:cs="Times New Roman"/>
          <w:b/>
          <w:bCs w:val="0"/>
          <w:kern w:val="0"/>
          <w:sz w:val="32"/>
          <w:szCs w:val="32"/>
          <w:lang w:eastAsia="zh-CN"/>
        </w:rPr>
        <w:t>单位</w:t>
      </w:r>
      <w:r>
        <w:rPr>
          <w:rFonts w:hint="default" w:ascii="Times New Roman" w:hAnsi="Times New Roman" w:eastAsia="仿宋_GB2312" w:cs="Times New Roman"/>
          <w:b/>
          <w:bCs w:val="0"/>
          <w:kern w:val="0"/>
          <w:sz w:val="32"/>
          <w:szCs w:val="32"/>
        </w:rPr>
        <w:t>无相关情况</w:t>
      </w:r>
      <w:r>
        <w:rPr>
          <w:rFonts w:hint="default" w:ascii="Times New Roman" w:hAnsi="Times New Roman" w:eastAsia="仿宋_GB2312" w:cs="Times New Roman"/>
          <w:b/>
          <w:bCs w:val="0"/>
          <w:kern w:val="0"/>
          <w:sz w:val="32"/>
          <w:szCs w:val="32"/>
          <w:lang w:eastAsia="zh-CN"/>
        </w:rPr>
        <w:t>，也需公开空表</w:t>
      </w:r>
      <w:r>
        <w:rPr>
          <w:rFonts w:hint="eastAsia" w:ascii="Times New Roman" w:hAnsi="Times New Roman" w:eastAsia="仿宋_GB2312" w:cs="Times New Roman"/>
          <w:b/>
          <w:bCs w:val="0"/>
          <w:kern w:val="0"/>
          <w:sz w:val="32"/>
          <w:szCs w:val="32"/>
          <w:lang w:eastAsia="zh-CN"/>
        </w:rPr>
        <w:t>，不得随意删减或仅在单位预算说明中以文字表述</w:t>
      </w:r>
      <w:r>
        <w:rPr>
          <w:rFonts w:hint="default" w:ascii="Times New Roman" w:hAnsi="Times New Roman" w:eastAsia="仿宋_GB2312" w:cs="Times New Roman"/>
          <w:b/>
          <w:bCs w:val="0"/>
          <w:kern w:val="0"/>
          <w:sz w:val="32"/>
          <w:szCs w:val="32"/>
        </w:rPr>
        <w:t>。</w:t>
      </w:r>
    </w:p>
    <w:p w14:paraId="6EE31EAA">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b/>
          <w:bCs w:val="0"/>
          <w:kern w:val="0"/>
          <w:sz w:val="32"/>
          <w:szCs w:val="32"/>
          <w:lang w:val="en-US" w:eastAsia="zh-CN"/>
        </w:rPr>
      </w:pPr>
      <w:r>
        <w:rPr>
          <w:rFonts w:hint="eastAsia" w:ascii="Times New Roman" w:hAnsi="Times New Roman" w:eastAsia="仿宋_GB2312" w:cs="Times New Roman"/>
          <w:b/>
          <w:bCs w:val="0"/>
          <w:kern w:val="0"/>
          <w:sz w:val="32"/>
          <w:szCs w:val="32"/>
          <w:lang w:val="en-US" w:eastAsia="zh-CN"/>
        </w:rPr>
        <w:t>2、按照财政部要求，公开预算必须编制目录，不得以预算管理一体化系统中导出公开表格的目录代替公开目录。</w:t>
      </w:r>
    </w:p>
    <w:p w14:paraId="225EE05F">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b/>
          <w:bCs w:val="0"/>
          <w:kern w:val="0"/>
          <w:sz w:val="32"/>
          <w:szCs w:val="32"/>
          <w:lang w:val="en-US" w:eastAsia="zh-CN"/>
        </w:rPr>
      </w:pPr>
      <w:r>
        <w:rPr>
          <w:rFonts w:hint="eastAsia" w:ascii="Times New Roman" w:hAnsi="Times New Roman" w:eastAsia="仿宋_GB2312" w:cs="Times New Roman"/>
          <w:b/>
          <w:bCs w:val="0"/>
          <w:kern w:val="0"/>
          <w:sz w:val="32"/>
          <w:szCs w:val="32"/>
          <w:lang w:val="en-US" w:eastAsia="zh-CN"/>
        </w:rPr>
        <w:t>3、除上年结转编入部门预算外，如当年有编列项目支出预算，则“22、其他项目支出绩效目标表”不得为空，或仅填列金额而无具体绩效指标说明。</w:t>
      </w:r>
    </w:p>
    <w:p w14:paraId="425D5B71">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b/>
          <w:bCs w:val="0"/>
          <w:kern w:val="0"/>
          <w:sz w:val="32"/>
          <w:szCs w:val="32"/>
          <w:lang w:val="en-US" w:eastAsia="zh-CN"/>
        </w:rPr>
        <w:sectPr>
          <w:footerReference r:id="rId5" w:type="even"/>
          <w:pgSz w:w="11907" w:h="16840"/>
          <w:pgMar w:top="1417" w:right="1587" w:bottom="1417" w:left="1587" w:header="851" w:footer="992" w:gutter="0"/>
          <w:cols w:space="720" w:num="1"/>
          <w:docGrid w:type="linesAndChars" w:linePitch="495" w:charSpace="-594"/>
        </w:sectPr>
      </w:pPr>
    </w:p>
    <w:p w14:paraId="19910CFC">
      <w:pPr>
        <w:widowControl/>
        <w:spacing w:line="600" w:lineRule="exact"/>
        <w:jc w:val="center"/>
        <w:rPr>
          <w:rFonts w:hint="default" w:ascii="Times New Roman" w:hAnsi="Times New Roman" w:eastAsia="方正小标宋_GBK" w:cs="Times New Roman"/>
          <w:bCs/>
          <w:kern w:val="0"/>
          <w:sz w:val="36"/>
          <w:szCs w:val="36"/>
        </w:rPr>
      </w:pPr>
      <w:r>
        <w:rPr>
          <w:rFonts w:hint="default" w:ascii="Times New Roman" w:hAnsi="Times New Roman" w:eastAsia="方正小标宋_GBK" w:cs="Times New Roman"/>
          <w:bCs/>
          <w:kern w:val="0"/>
          <w:sz w:val="36"/>
          <w:szCs w:val="36"/>
        </w:rPr>
        <w:t xml:space="preserve">第一部分 </w:t>
      </w:r>
      <w:r>
        <w:rPr>
          <w:rFonts w:hint="eastAsia" w:ascii="Times New Roman" w:hAnsi="Times New Roman" w:eastAsia="方正小标宋_GBK" w:cs="Times New Roman"/>
          <w:bCs/>
          <w:kern w:val="0"/>
          <w:sz w:val="36"/>
          <w:szCs w:val="36"/>
          <w:lang w:eastAsia="zh-CN"/>
        </w:rPr>
        <w:t>2025年</w:t>
      </w:r>
      <w:r>
        <w:rPr>
          <w:rFonts w:hint="default" w:ascii="Times New Roman" w:hAnsi="Times New Roman" w:eastAsia="方正小标宋_GBK" w:cs="Times New Roman"/>
          <w:bCs/>
          <w:kern w:val="0"/>
          <w:sz w:val="36"/>
          <w:szCs w:val="36"/>
        </w:rPr>
        <w:t>单位预算说明</w:t>
      </w:r>
    </w:p>
    <w:p w14:paraId="2810CF71">
      <w:pPr>
        <w:widowControl/>
        <w:spacing w:line="600" w:lineRule="exact"/>
        <w:jc w:val="left"/>
        <w:rPr>
          <w:rFonts w:hint="default" w:ascii="Times New Roman" w:hAnsi="Times New Roman" w:eastAsia="仿宋_GB2312" w:cs="Times New Roman"/>
          <w:b/>
          <w:bCs/>
          <w:kern w:val="0"/>
          <w:sz w:val="32"/>
          <w:szCs w:val="32"/>
        </w:rPr>
      </w:pPr>
    </w:p>
    <w:p w14:paraId="1BA55A34">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一、单位基本概况</w:t>
      </w:r>
    </w:p>
    <w:p w14:paraId="4C100435">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（一）职能职责。……</w:t>
      </w:r>
    </w:p>
    <w:p w14:paraId="05DD5D6E">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（二）机构设置。……</w:t>
      </w:r>
    </w:p>
    <w:p w14:paraId="3781A9DC">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（注：职能职责和机构设置需分开列示）</w:t>
      </w:r>
    </w:p>
    <w:p w14:paraId="060C0B76">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eastAsia" w:ascii="Times New Roman" w:hAnsi="Times New Roman" w:eastAsia="黑体" w:cs="Times New Roman"/>
          <w:bCs/>
          <w:kern w:val="0"/>
          <w:sz w:val="32"/>
          <w:szCs w:val="32"/>
          <w:lang w:eastAsia="zh-CN"/>
        </w:rPr>
      </w:pPr>
      <w:r>
        <w:rPr>
          <w:rFonts w:hint="eastAsia" w:ascii="Times New Roman" w:hAnsi="Times New Roman" w:eastAsia="黑体" w:cs="Times New Roman"/>
          <w:bCs/>
          <w:kern w:val="0"/>
          <w:sz w:val="32"/>
          <w:szCs w:val="32"/>
          <w:lang w:eastAsia="zh-CN"/>
        </w:rPr>
        <w:t>二、预算单位构成</w:t>
      </w:r>
    </w:p>
    <w:p w14:paraId="4EE16BF4">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预算为汇总预算，纳入编制范围的预算单位包括：</w:t>
      </w:r>
    </w:p>
    <w:p w14:paraId="5D418605">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1、×××本级</w:t>
      </w:r>
    </w:p>
    <w:p w14:paraId="16D43C0B">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p w14:paraId="2CE72427">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黑体" w:cs="Times New Roman"/>
          <w:bCs/>
          <w:kern w:val="0"/>
          <w:sz w:val="32"/>
          <w:szCs w:val="32"/>
          <w:lang w:eastAsia="zh-CN"/>
        </w:rPr>
      </w:pPr>
      <w:r>
        <w:rPr>
          <w:rFonts w:hint="default" w:ascii="Times New Roman" w:hAnsi="Times New Roman" w:eastAsia="仿宋_GB2312" w:cs="Times New Roman"/>
          <w:b/>
          <w:sz w:val="32"/>
          <w:szCs w:val="32"/>
        </w:rPr>
        <w:t>或者：</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无下属</w:t>
      </w:r>
      <w:r>
        <w:rPr>
          <w:rFonts w:hint="default" w:ascii="Times New Roman" w:hAnsi="Times New Roman" w:eastAsia="仿宋_GB2312" w:cs="Times New Roman"/>
          <w:sz w:val="32"/>
          <w:szCs w:val="32"/>
        </w:rPr>
        <w:t>预算单位。</w:t>
      </w:r>
    </w:p>
    <w:p w14:paraId="1D30DB13">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eastAsia="zh-CN"/>
        </w:rPr>
        <w:t>三</w:t>
      </w:r>
      <w:r>
        <w:rPr>
          <w:rFonts w:hint="default" w:ascii="Times New Roman" w:hAnsi="Times New Roman" w:eastAsia="黑体" w:cs="Times New Roman"/>
          <w:bCs/>
          <w:kern w:val="0"/>
          <w:sz w:val="32"/>
          <w:szCs w:val="32"/>
        </w:rPr>
        <w:t>、单位收支总体情况</w:t>
      </w:r>
    </w:p>
    <w:p w14:paraId="2892DD30">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（一）收入预算：</w:t>
      </w:r>
      <w:r>
        <w:rPr>
          <w:rFonts w:hint="default" w:ascii="Times New Roman" w:hAnsi="Times New Roman" w:eastAsia="仿宋_GB2312" w:cs="Times New Roman"/>
          <w:sz w:val="32"/>
          <w:szCs w:val="32"/>
        </w:rPr>
        <w:t>包括一般公共预算、政府性基金、国有资本经营预算等财政拨款收入，以及经营收入、事业收入等单位资金。</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本单位收入预算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万元，其中，一般公共预算拨款</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万元，政府性基金预算拨款</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万元，国有资本经营预算拨款</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万元，纳入专户管理的非税收入</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b/>
          <w:sz w:val="32"/>
          <w:szCs w:val="32"/>
        </w:rPr>
        <w:t>收入较去年增加（减少）</w:t>
      </w:r>
      <w:r>
        <w:rPr>
          <w:rFonts w:hint="default" w:ascii="Times New Roman" w:hAnsi="Times New Roman" w:eastAsia="仿宋_GB2312" w:cs="Times New Roman"/>
          <w:b/>
          <w:sz w:val="32"/>
          <w:szCs w:val="32"/>
          <w:u w:val="single"/>
        </w:rPr>
        <w:t xml:space="preserve">   </w:t>
      </w:r>
      <w:r>
        <w:rPr>
          <w:rFonts w:hint="default" w:ascii="Times New Roman" w:hAnsi="Times New Roman" w:eastAsia="仿宋_GB2312" w:cs="Times New Roman"/>
          <w:b/>
          <w:sz w:val="32"/>
          <w:szCs w:val="32"/>
        </w:rPr>
        <w:t>万元，主要是……。</w:t>
      </w:r>
    </w:p>
    <w:p w14:paraId="681CC0D6">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w:t>
      </w:r>
      <w:r>
        <w:rPr>
          <w:rFonts w:hint="eastAsia" w:ascii="Times New Roman" w:hAnsi="Times New Roman" w:eastAsia="仿宋_GB2312" w:cs="Times New Roman"/>
          <w:b/>
          <w:sz w:val="32"/>
          <w:szCs w:val="32"/>
          <w:lang w:eastAsia="zh-CN"/>
        </w:rPr>
        <w:t>如为当年度新成立单位，无收入增减变化情况，也一定要作出说明，表述为“</w:t>
      </w:r>
      <w:r>
        <w:rPr>
          <w:rFonts w:hint="eastAsia" w:ascii="Times New Roman" w:hAnsi="Times New Roman" w:eastAsia="仿宋_GB2312" w:cs="Times New Roman"/>
          <w:b/>
          <w:sz w:val="32"/>
          <w:szCs w:val="32"/>
          <w:lang w:val="en-US" w:eastAsia="zh-CN"/>
        </w:rPr>
        <w:t>xx（单位名称）</w:t>
      </w:r>
      <w:r>
        <w:rPr>
          <w:rFonts w:hint="eastAsia" w:ascii="Times New Roman" w:hAnsi="Times New Roman" w:eastAsia="仿宋_GB2312" w:cs="Times New Roman"/>
          <w:b/>
          <w:sz w:val="32"/>
          <w:szCs w:val="32"/>
          <w:lang w:eastAsia="zh-CN"/>
        </w:rPr>
        <w:t>为</w:t>
      </w:r>
      <w:r>
        <w:rPr>
          <w:rFonts w:hint="eastAsia" w:ascii="Times New Roman" w:hAnsi="Times New Roman" w:eastAsia="仿宋_GB2312" w:cs="Times New Roman"/>
          <w:b/>
          <w:sz w:val="32"/>
          <w:szCs w:val="32"/>
          <w:lang w:val="en-US" w:eastAsia="zh-CN"/>
        </w:rPr>
        <w:t>当年新增预算单位，无法同上年进行对比</w:t>
      </w:r>
      <w:r>
        <w:rPr>
          <w:rFonts w:hint="eastAsia" w:ascii="Times New Roman" w:hAnsi="Times New Roman" w:eastAsia="仿宋_GB2312" w:cs="Times New Roman"/>
          <w:b/>
          <w:sz w:val="32"/>
          <w:szCs w:val="32"/>
          <w:lang w:eastAsia="zh-CN"/>
        </w:rPr>
        <w:t>”，不得删除文字表述</w:t>
      </w:r>
      <w:r>
        <w:rPr>
          <w:rFonts w:hint="default" w:ascii="Times New Roman" w:hAnsi="Times New Roman" w:eastAsia="仿宋_GB2312" w:cs="Times New Roman"/>
          <w:b/>
          <w:sz w:val="32"/>
          <w:szCs w:val="32"/>
        </w:rPr>
        <w:t>）</w:t>
      </w:r>
    </w:p>
    <w:p w14:paraId="418DEE46">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（二）支出预算：</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万元，其中，一般公共服务</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万元，公共安全</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万元，教育</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万元，科学技术</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b/>
          <w:sz w:val="32"/>
          <w:szCs w:val="32"/>
        </w:rPr>
        <w:t>支出较去年增加（减少）</w:t>
      </w:r>
      <w:r>
        <w:rPr>
          <w:rFonts w:hint="default" w:ascii="Times New Roman" w:hAnsi="Times New Roman" w:eastAsia="仿宋_GB2312" w:cs="Times New Roman"/>
          <w:b/>
          <w:sz w:val="32"/>
          <w:szCs w:val="32"/>
          <w:u w:val="single"/>
        </w:rPr>
        <w:t xml:space="preserve">   </w:t>
      </w:r>
      <w:r>
        <w:rPr>
          <w:rFonts w:hint="default" w:ascii="Times New Roman" w:hAnsi="Times New Roman" w:eastAsia="仿宋_GB2312" w:cs="Times New Roman"/>
          <w:b/>
          <w:sz w:val="32"/>
          <w:szCs w:val="32"/>
        </w:rPr>
        <w:t>万元，主要是……。</w:t>
      </w:r>
    </w:p>
    <w:p w14:paraId="3531A4E2">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w:t>
      </w:r>
      <w:r>
        <w:rPr>
          <w:rFonts w:hint="eastAsia" w:ascii="Times New Roman" w:hAnsi="Times New Roman" w:eastAsia="仿宋_GB2312" w:cs="Times New Roman"/>
          <w:b/>
          <w:sz w:val="32"/>
          <w:szCs w:val="32"/>
          <w:lang w:eastAsia="zh-CN"/>
        </w:rPr>
        <w:t>如为当年度新成立单位，无支出增减变化情况，也一定要作出说明，表述为“</w:t>
      </w:r>
      <w:r>
        <w:rPr>
          <w:rFonts w:hint="eastAsia" w:ascii="Times New Roman" w:hAnsi="Times New Roman" w:eastAsia="仿宋_GB2312" w:cs="Times New Roman"/>
          <w:b/>
          <w:sz w:val="32"/>
          <w:szCs w:val="32"/>
          <w:lang w:val="en-US" w:eastAsia="zh-CN"/>
        </w:rPr>
        <w:t>xx（单位名称）</w:t>
      </w:r>
      <w:r>
        <w:rPr>
          <w:rFonts w:hint="eastAsia" w:ascii="Times New Roman" w:hAnsi="Times New Roman" w:eastAsia="仿宋_GB2312" w:cs="Times New Roman"/>
          <w:b/>
          <w:sz w:val="32"/>
          <w:szCs w:val="32"/>
          <w:lang w:eastAsia="zh-CN"/>
        </w:rPr>
        <w:t>为</w:t>
      </w:r>
      <w:r>
        <w:rPr>
          <w:rFonts w:hint="eastAsia" w:ascii="Times New Roman" w:hAnsi="Times New Roman" w:eastAsia="仿宋_GB2312" w:cs="Times New Roman"/>
          <w:b/>
          <w:sz w:val="32"/>
          <w:szCs w:val="32"/>
          <w:lang w:val="en-US" w:eastAsia="zh-CN"/>
        </w:rPr>
        <w:t>当年新增预算单位，无法同上年进行对比</w:t>
      </w:r>
      <w:r>
        <w:rPr>
          <w:rFonts w:hint="eastAsia" w:ascii="Times New Roman" w:hAnsi="Times New Roman" w:eastAsia="仿宋_GB2312" w:cs="Times New Roman"/>
          <w:b/>
          <w:sz w:val="32"/>
          <w:szCs w:val="32"/>
          <w:lang w:eastAsia="zh-CN"/>
        </w:rPr>
        <w:t>”，不得删除文字表述</w:t>
      </w:r>
      <w:r>
        <w:rPr>
          <w:rFonts w:hint="default" w:ascii="Times New Roman" w:hAnsi="Times New Roman" w:eastAsia="仿宋_GB2312" w:cs="Times New Roman"/>
          <w:b/>
          <w:sz w:val="32"/>
          <w:szCs w:val="32"/>
        </w:rPr>
        <w:t>）</w:t>
      </w:r>
    </w:p>
    <w:p w14:paraId="4F954C7B">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四</w:t>
      </w:r>
      <w:r>
        <w:rPr>
          <w:rFonts w:hint="default" w:ascii="Times New Roman" w:hAnsi="Times New Roman" w:eastAsia="黑体" w:cs="Times New Roman"/>
          <w:sz w:val="32"/>
          <w:szCs w:val="32"/>
        </w:rPr>
        <w:t>、一般公共预算拨款支出</w:t>
      </w:r>
    </w:p>
    <w:p w14:paraId="090B6248">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本单位一般公共预算拨款支出预算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万元，其中，一般公共服务支出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%；公共安全支出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%；……。具体安排情况如下：</w:t>
      </w:r>
    </w:p>
    <w:p w14:paraId="42900C5A">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default" w:ascii="Times New Roman" w:hAnsi="Times New Roman" w:eastAsia="楷体_GB2312" w:cs="Times New Roman"/>
          <w:b/>
          <w:sz w:val="32"/>
          <w:szCs w:val="32"/>
        </w:rPr>
        <w:t>（一）基本支出：</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本单位基本支出预算数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万元，主要是为保障单位机构正常运转、完成日常工作任务而发生的各项支出，包括用于基本工资、津贴补贴等人员经费以及办公费、印刷费、水电费、办公设备购置等公用经费。</w:t>
      </w:r>
    </w:p>
    <w:p w14:paraId="03A7211A">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（二）项目支出：</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本单位项目支出预算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万元，主要是部门为完成特定行政工作任务或事业发展目标而发生的支出，包括有关事业发展专项、专项业务费、基本建设支出等，其中：</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万元，主要用于……等方面；</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万元，主要用于……等方面；¨¨¨。</w:t>
      </w:r>
    </w:p>
    <w:p w14:paraId="001F2227">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、政府性基金预算支出</w:t>
      </w:r>
    </w:p>
    <w:p w14:paraId="5DD7FA31">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本单位政府性基金支出预算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万元，其中，科学技术支出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%；文化旅游体育与传媒支出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%；……。具体安排情况如下：……</w:t>
      </w:r>
    </w:p>
    <w:p w14:paraId="320A08B0">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（注：如无政府性基金预算安排的支出，应</w:t>
      </w:r>
      <w:r>
        <w:rPr>
          <w:rFonts w:hint="eastAsia" w:ascii="Times New Roman" w:hAnsi="Times New Roman" w:eastAsia="仿宋_GB2312" w:cs="Times New Roman"/>
          <w:b/>
          <w:sz w:val="32"/>
          <w:szCs w:val="32"/>
          <w:lang w:eastAsia="zh-CN"/>
        </w:rPr>
        <w:t>表述为</w:t>
      </w:r>
      <w:r>
        <w:rPr>
          <w:rFonts w:hint="default" w:ascii="Times New Roman" w:hAnsi="Times New Roman" w:eastAsia="仿宋_GB2312" w:cs="Times New Roman"/>
          <w:b/>
          <w:sz w:val="32"/>
          <w:szCs w:val="32"/>
        </w:rPr>
        <w:t>“本部门无政府性基金安排的支出”</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不得</w:t>
      </w:r>
      <w:r>
        <w:rPr>
          <w:rFonts w:hint="eastAsia" w:ascii="Times New Roman" w:hAnsi="Times New Roman" w:eastAsia="仿宋_GB2312" w:cs="Times New Roman"/>
          <w:b/>
          <w:sz w:val="32"/>
          <w:szCs w:val="32"/>
          <w:lang w:eastAsia="zh-CN"/>
        </w:rPr>
        <w:t>删除</w:t>
      </w:r>
      <w:r>
        <w:rPr>
          <w:rFonts w:hint="default" w:ascii="Times New Roman" w:hAnsi="Times New Roman" w:eastAsia="仿宋_GB2312" w:cs="Times New Roman"/>
          <w:b/>
          <w:sz w:val="32"/>
          <w:szCs w:val="32"/>
        </w:rPr>
        <w:t>文字表述）</w:t>
      </w:r>
    </w:p>
    <w:p w14:paraId="062C3044">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、其他重要事项的情况说明</w:t>
      </w:r>
    </w:p>
    <w:p w14:paraId="26D645CA">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（一）运行经费：</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本单位运行经费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万元，比上年预算减少（增加或持平）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万元，下降（上升）</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%，主要是……。</w:t>
      </w:r>
    </w:p>
    <w:p w14:paraId="1295A215">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（二）“三公”经费预算：</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本单位“三公”经费预算数为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万元，其中，公务接待费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万元，公务用车购置及运行费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万元（其中，公务用车购置费 万元，公务用车运行费 万元），因公出国（境）费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“三公”经费预算较上年减少（增加或持平）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万元，主要是……。</w:t>
      </w:r>
    </w:p>
    <w:p w14:paraId="19A81B5E">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（注：如无</w:t>
      </w:r>
      <w:r>
        <w:rPr>
          <w:rFonts w:hint="eastAsia" w:ascii="Times New Roman" w:hAnsi="Times New Roman" w:eastAsia="仿宋_GB2312" w:cs="Times New Roman"/>
          <w:b/>
          <w:sz w:val="32"/>
          <w:szCs w:val="32"/>
          <w:lang w:eastAsia="zh-CN"/>
        </w:rPr>
        <w:t>“三公”经费预算</w:t>
      </w: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eastAsia="zh-CN"/>
        </w:rPr>
        <w:t>则填“</w:t>
      </w:r>
      <w:r>
        <w:rPr>
          <w:rFonts w:hint="eastAsia" w:ascii="Times New Roman" w:hAnsi="Times New Roman" w:eastAsia="仿宋_GB2312" w:cs="Times New Roman"/>
          <w:b/>
          <w:sz w:val="32"/>
          <w:szCs w:val="32"/>
          <w:lang w:val="en-US" w:eastAsia="zh-CN"/>
        </w:rPr>
        <w:t>0”；如为当年度新成立单位，无“三公”经费增减变化情况，也一定要作出说明，表述为“xx（单位名称）为当年新增预算单位，无法同上年进行对比”，不得删除文字表述</w:t>
      </w:r>
      <w:r>
        <w:rPr>
          <w:rFonts w:hint="default" w:ascii="Times New Roman" w:hAnsi="Times New Roman" w:eastAsia="仿宋_GB2312" w:cs="Times New Roman"/>
          <w:b/>
          <w:sz w:val="32"/>
          <w:szCs w:val="32"/>
        </w:rPr>
        <w:t>）</w:t>
      </w:r>
    </w:p>
    <w:p w14:paraId="2A8D82F1">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楷体_GB2312" w:cs="Times New Roman"/>
          <w:b/>
          <w:sz w:val="32"/>
          <w:szCs w:val="32"/>
        </w:rPr>
        <w:t>（三）一般性支出情况：</w:t>
      </w:r>
      <w:r>
        <w:rPr>
          <w:rFonts w:hint="eastAsia" w:ascii="Times New Roman" w:hAnsi="Times New Roman" w:eastAsia="仿宋_GB2312" w:cs="Times New Roman"/>
          <w:kern w:val="0"/>
          <w:sz w:val="32"/>
          <w:szCs w:val="32"/>
          <w:lang w:eastAsia="zh-CN"/>
        </w:rPr>
        <w:t>2025年</w:t>
      </w:r>
      <w:r>
        <w:rPr>
          <w:rFonts w:hint="default" w:ascii="Times New Roman" w:hAnsi="Times New Roman" w:eastAsia="仿宋_GB2312" w:cs="Times New Roman"/>
          <w:kern w:val="0"/>
          <w:sz w:val="32"/>
          <w:szCs w:val="32"/>
        </w:rPr>
        <w:t>本单位会议费预算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万元，拟召开</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会议，人数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人，内容为……；培训费预算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万元，拟开展</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培训，人数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人，内容为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；拟举办</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等节庆、晚会、论坛、赛事活动，经费预算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kern w:val="0"/>
          <w:sz w:val="32"/>
          <w:szCs w:val="32"/>
        </w:rPr>
        <w:t>万元。</w:t>
      </w:r>
    </w:p>
    <w:p w14:paraId="3F1D6D64">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（四）政府采购情况：</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本部门政府采购预算总额</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万元，其中，货物类采购预算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万元；工程类采购预算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万元；服务类采购预算</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w:t>
      </w:r>
    </w:p>
    <w:p w14:paraId="59C8398A">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（注：如某大类无采购预算，则填“0”）</w:t>
      </w:r>
    </w:p>
    <w:p w14:paraId="77EC2181">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Cs/>
          <w:kern w:val="0"/>
          <w:sz w:val="32"/>
          <w:szCs w:val="32"/>
        </w:rPr>
      </w:pPr>
      <w:r>
        <w:rPr>
          <w:rFonts w:hint="default" w:ascii="Times New Roman" w:hAnsi="Times New Roman" w:eastAsia="楷体_GB2312" w:cs="Times New Roman"/>
          <w:b/>
          <w:sz w:val="32"/>
          <w:szCs w:val="32"/>
        </w:rPr>
        <w:t>（五）国有资产占用使用及新增资产配置情况：</w:t>
      </w:r>
      <w:r>
        <w:rPr>
          <w:rFonts w:hint="default" w:ascii="Times New Roman" w:hAnsi="Times New Roman" w:eastAsia="仿宋_GB2312" w:cs="Times New Roman"/>
          <w:sz w:val="32"/>
          <w:szCs w:val="32"/>
        </w:rPr>
        <w:t>截至</w:t>
      </w:r>
      <w:r>
        <w:rPr>
          <w:rFonts w:hint="eastAsia" w:ascii="Times New Roman" w:hAnsi="Times New Roman" w:eastAsia="仿宋_GB2312" w:cs="Times New Roman"/>
          <w:sz w:val="32"/>
          <w:szCs w:val="32"/>
          <w:lang w:eastAsia="zh-CN"/>
        </w:rPr>
        <w:t>2024年</w:t>
      </w:r>
      <w:r>
        <w:rPr>
          <w:rFonts w:hint="default" w:ascii="Times New Roman" w:hAnsi="Times New Roman" w:eastAsia="仿宋_GB2312" w:cs="Times New Roman"/>
          <w:sz w:val="32"/>
          <w:szCs w:val="32"/>
        </w:rPr>
        <w:t>12月底，本单位</w:t>
      </w:r>
      <w:r>
        <w:rPr>
          <w:rFonts w:hint="default" w:ascii="Times New Roman" w:hAnsi="Times New Roman" w:eastAsia="仿宋_GB2312" w:cs="Times New Roman"/>
          <w:bCs/>
          <w:kern w:val="0"/>
          <w:sz w:val="32"/>
          <w:szCs w:val="32"/>
        </w:rPr>
        <w:t>共有公务用车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辆，其中，机要通信用车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辆，应急保障用车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辆，执法执勤用车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辆，特种专业技术用车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辆，其他按照规定配备的公务用车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辆；单位价值50万元以上通用设备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台，单位价值100万元以上专用设备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w:t>
      </w:r>
      <w:r>
        <w:rPr>
          <w:rFonts w:hint="eastAsia" w:ascii="Times New Roman" w:hAnsi="Times New Roman" w:eastAsia="仿宋_GB2312" w:cs="Times New Roman"/>
          <w:bCs/>
          <w:kern w:val="0"/>
          <w:sz w:val="32"/>
          <w:szCs w:val="32"/>
          <w:lang w:eastAsia="zh-CN"/>
        </w:rPr>
        <w:t>2025年</w:t>
      </w:r>
      <w:r>
        <w:rPr>
          <w:rFonts w:hint="default" w:ascii="Times New Roman" w:hAnsi="Times New Roman" w:eastAsia="仿宋_GB2312" w:cs="Times New Roman"/>
          <w:bCs/>
          <w:kern w:val="0"/>
          <w:sz w:val="32"/>
          <w:szCs w:val="32"/>
        </w:rPr>
        <w:t>拟新增配置公务用车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辆，其中，机要通信用车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辆，应急保障用车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辆，执法执勤用车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辆，特种专业技术用车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辆，其他按照规定配备的公务用车</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辆；新增配备单位价值50万元以上通用设备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台，单位价值100万元以上专用设备</w:t>
      </w:r>
      <w:r>
        <w:rPr>
          <w:rFonts w:hint="default" w:ascii="Times New Roman" w:hAnsi="Times New Roman" w:eastAsia="仿宋_GB2312" w:cs="Times New Roman"/>
          <w:bCs/>
          <w:kern w:val="0"/>
          <w:sz w:val="32"/>
          <w:szCs w:val="32"/>
          <w:u w:val="single"/>
        </w:rPr>
        <w:t xml:space="preserve">   </w:t>
      </w:r>
      <w:r>
        <w:rPr>
          <w:rFonts w:hint="default" w:ascii="Times New Roman" w:hAnsi="Times New Roman" w:eastAsia="仿宋_GB2312" w:cs="Times New Roman"/>
          <w:bCs/>
          <w:kern w:val="0"/>
          <w:sz w:val="32"/>
          <w:szCs w:val="32"/>
        </w:rPr>
        <w:t>台。</w:t>
      </w:r>
    </w:p>
    <w:p w14:paraId="1360EAE9">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Cs/>
          <w:kern w:val="0"/>
          <w:sz w:val="32"/>
          <w:szCs w:val="32"/>
        </w:rPr>
      </w:pPr>
      <w:r>
        <w:rPr>
          <w:rFonts w:hint="default" w:ascii="Times New Roman" w:hAnsi="Times New Roman" w:eastAsia="楷体_GB2312" w:cs="Times New Roman"/>
          <w:b/>
          <w:bCs/>
          <w:kern w:val="0"/>
          <w:sz w:val="32"/>
          <w:szCs w:val="32"/>
        </w:rPr>
        <w:t>（六）预算绩效目标说明：</w:t>
      </w:r>
      <w:r>
        <w:rPr>
          <w:rFonts w:hint="default" w:ascii="Times New Roman" w:hAnsi="Times New Roman" w:eastAsia="仿宋_GB2312" w:cs="Times New Roman"/>
          <w:bCs/>
          <w:kern w:val="0"/>
          <w:sz w:val="32"/>
          <w:szCs w:val="32"/>
        </w:rPr>
        <w:t>本单位所有支出实行绩效目标管理。纳入</w:t>
      </w:r>
      <w:r>
        <w:rPr>
          <w:rFonts w:hint="eastAsia" w:ascii="Times New Roman" w:hAnsi="Times New Roman" w:eastAsia="仿宋_GB2312" w:cs="Times New Roman"/>
          <w:bCs/>
          <w:kern w:val="0"/>
          <w:sz w:val="32"/>
          <w:szCs w:val="32"/>
          <w:lang w:eastAsia="zh-CN"/>
        </w:rPr>
        <w:t>2025年</w:t>
      </w:r>
      <w:r>
        <w:rPr>
          <w:rFonts w:hint="default" w:ascii="Times New Roman" w:hAnsi="Times New Roman" w:eastAsia="仿宋_GB2312" w:cs="Times New Roman"/>
          <w:bCs/>
          <w:kern w:val="0"/>
          <w:sz w:val="32"/>
          <w:szCs w:val="32"/>
        </w:rPr>
        <w:t>单位整体支出绩效目标的金额为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bCs/>
          <w:kern w:val="0"/>
          <w:sz w:val="32"/>
          <w:szCs w:val="32"/>
        </w:rPr>
        <w:t>万元，其中，基本支出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bCs/>
          <w:kern w:val="0"/>
          <w:sz w:val="32"/>
          <w:szCs w:val="32"/>
        </w:rPr>
        <w:t>万元，项目支出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bCs/>
          <w:kern w:val="0"/>
          <w:sz w:val="32"/>
          <w:szCs w:val="32"/>
        </w:rPr>
        <w:t>万元，具体绩效目标详见报表。</w:t>
      </w:r>
    </w:p>
    <w:p w14:paraId="4D9422EF">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七</w:t>
      </w:r>
      <w:r>
        <w:rPr>
          <w:rFonts w:hint="default" w:ascii="Times New Roman" w:hAnsi="Times New Roman" w:eastAsia="黑体" w:cs="Times New Roman"/>
          <w:sz w:val="32"/>
          <w:szCs w:val="32"/>
        </w:rPr>
        <w:t>、名词解释</w:t>
      </w:r>
    </w:p>
    <w:p w14:paraId="7FE63DE7">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运行经费：是指各单位的公用经费，包括办公及印刷费、邮电费、差旅费、会议费、福利费、日常维修费、专用资料及一般设备购置费、办公用房水电费、办公用房取暖费、办公用房物业管理费、公务用车运行维护费以及其他费用。</w:t>
      </w:r>
    </w:p>
    <w:p w14:paraId="52B3972D">
      <w:pPr>
        <w:keepNext w:val="0"/>
        <w:keepLines w:val="0"/>
        <w:pageBreakBefore w:val="0"/>
        <w:widowControl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00F83EF4">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b/>
          <w:bCs/>
          <w:sz w:val="32"/>
          <w:szCs w:val="32"/>
        </w:rPr>
        <w:t>（注：各单位</w:t>
      </w:r>
      <w:r>
        <w:rPr>
          <w:rFonts w:hint="eastAsia" w:ascii="Times New Roman" w:hAnsi="Times New Roman" w:eastAsia="仿宋_GB2312" w:cs="Times New Roman"/>
          <w:b/>
          <w:bCs/>
          <w:sz w:val="32"/>
          <w:szCs w:val="32"/>
          <w:lang w:eastAsia="zh-CN"/>
        </w:rPr>
        <w:t>可根据实际</w:t>
      </w:r>
      <w:r>
        <w:rPr>
          <w:rFonts w:hint="default" w:ascii="Times New Roman" w:hAnsi="Times New Roman" w:eastAsia="仿宋_GB2312" w:cs="Times New Roman"/>
          <w:b/>
          <w:bCs/>
          <w:sz w:val="32"/>
          <w:szCs w:val="32"/>
        </w:rPr>
        <w:t>对本单位预算中其他专有名词作出说明，便于公众理解）</w:t>
      </w:r>
    </w:p>
    <w:p w14:paraId="45C16B7A">
      <w:pPr>
        <w:widowControl/>
        <w:spacing w:line="600" w:lineRule="exact"/>
        <w:ind w:firstLine="660"/>
        <w:rPr>
          <w:rFonts w:hint="default" w:ascii="Times New Roman" w:hAnsi="Times New Roman" w:eastAsia="仿宋_GB2312" w:cs="Times New Roman"/>
          <w:sz w:val="32"/>
          <w:szCs w:val="32"/>
        </w:rPr>
      </w:pPr>
    </w:p>
    <w:p w14:paraId="5DF1CD02">
      <w:pPr>
        <w:widowControl/>
        <w:spacing w:line="600" w:lineRule="exact"/>
        <w:jc w:val="left"/>
        <w:rPr>
          <w:rFonts w:hint="default" w:ascii="Times New Roman" w:hAnsi="Times New Roman" w:eastAsia="黑体" w:cs="Times New Roman"/>
          <w:sz w:val="32"/>
          <w:szCs w:val="32"/>
        </w:rPr>
      </w:pPr>
    </w:p>
    <w:p w14:paraId="1DB5055F">
      <w:pPr>
        <w:widowControl/>
        <w:spacing w:line="600" w:lineRule="exact"/>
        <w:jc w:val="left"/>
        <w:rPr>
          <w:rFonts w:hint="default" w:ascii="Times New Roman" w:hAnsi="Times New Roman" w:eastAsia="黑体" w:cs="Times New Roman"/>
          <w:sz w:val="32"/>
          <w:szCs w:val="32"/>
        </w:rPr>
      </w:pPr>
    </w:p>
    <w:p w14:paraId="4FE70325">
      <w:pPr>
        <w:widowControl/>
        <w:spacing w:line="600" w:lineRule="exact"/>
        <w:jc w:val="left"/>
        <w:rPr>
          <w:rFonts w:hint="default" w:ascii="Times New Roman" w:hAnsi="Times New Roman" w:eastAsia="黑体" w:cs="Times New Roman"/>
          <w:sz w:val="32"/>
          <w:szCs w:val="32"/>
        </w:rPr>
      </w:pPr>
    </w:p>
    <w:p w14:paraId="34021BE0">
      <w:pPr>
        <w:widowControl/>
        <w:spacing w:line="600" w:lineRule="exact"/>
        <w:jc w:val="left"/>
        <w:rPr>
          <w:rFonts w:hint="default" w:ascii="Times New Roman" w:hAnsi="Times New Roman" w:eastAsia="黑体" w:cs="Times New Roman"/>
          <w:sz w:val="32"/>
          <w:szCs w:val="32"/>
        </w:rPr>
      </w:pPr>
    </w:p>
    <w:p w14:paraId="6170D165">
      <w:pPr>
        <w:widowControl/>
        <w:spacing w:line="600" w:lineRule="exact"/>
        <w:jc w:val="left"/>
        <w:rPr>
          <w:rFonts w:hint="default" w:ascii="Times New Roman" w:hAnsi="Times New Roman" w:eastAsia="黑体" w:cs="Times New Roman"/>
          <w:sz w:val="32"/>
          <w:szCs w:val="32"/>
        </w:rPr>
      </w:pPr>
    </w:p>
    <w:p w14:paraId="595CEAF8">
      <w:pPr>
        <w:widowControl/>
        <w:spacing w:line="600" w:lineRule="exact"/>
        <w:jc w:val="left"/>
        <w:rPr>
          <w:rFonts w:hint="default" w:ascii="Times New Roman" w:hAnsi="Times New Roman" w:eastAsia="黑体" w:cs="Times New Roman"/>
          <w:sz w:val="32"/>
          <w:szCs w:val="32"/>
        </w:rPr>
      </w:pPr>
    </w:p>
    <w:p w14:paraId="20E6D1BE">
      <w:pPr>
        <w:widowControl/>
        <w:spacing w:line="600" w:lineRule="exact"/>
        <w:jc w:val="left"/>
        <w:rPr>
          <w:rFonts w:hint="default" w:ascii="Times New Roman" w:hAnsi="Times New Roman" w:eastAsia="黑体" w:cs="Times New Roman"/>
          <w:sz w:val="32"/>
          <w:szCs w:val="32"/>
        </w:rPr>
      </w:pPr>
    </w:p>
    <w:p w14:paraId="6164756A">
      <w:pPr>
        <w:widowControl/>
        <w:spacing w:line="600" w:lineRule="exact"/>
        <w:jc w:val="left"/>
        <w:rPr>
          <w:rFonts w:hint="default" w:ascii="Times New Roman" w:hAnsi="Times New Roman" w:eastAsia="黑体" w:cs="Times New Roman"/>
          <w:sz w:val="32"/>
          <w:szCs w:val="32"/>
        </w:rPr>
      </w:pPr>
    </w:p>
    <w:p w14:paraId="5A43B01A">
      <w:pPr>
        <w:widowControl/>
        <w:spacing w:line="600" w:lineRule="exact"/>
        <w:jc w:val="left"/>
        <w:rPr>
          <w:rFonts w:hint="default" w:ascii="Times New Roman" w:hAnsi="Times New Roman" w:eastAsia="黑体" w:cs="Times New Roman"/>
          <w:sz w:val="32"/>
          <w:szCs w:val="32"/>
        </w:rPr>
      </w:pPr>
    </w:p>
    <w:p w14:paraId="429B7C57">
      <w:pPr>
        <w:widowControl/>
        <w:spacing w:line="600" w:lineRule="exact"/>
        <w:jc w:val="left"/>
        <w:rPr>
          <w:rFonts w:hint="default" w:ascii="Times New Roman" w:hAnsi="Times New Roman" w:eastAsia="黑体" w:cs="Times New Roman"/>
          <w:sz w:val="32"/>
          <w:szCs w:val="32"/>
        </w:rPr>
      </w:pPr>
    </w:p>
    <w:p w14:paraId="0B674AB7">
      <w:pPr>
        <w:widowControl/>
        <w:spacing w:line="600" w:lineRule="exact"/>
        <w:jc w:val="left"/>
        <w:rPr>
          <w:rFonts w:hint="default" w:ascii="Times New Roman" w:hAnsi="Times New Roman" w:eastAsia="黑体" w:cs="Times New Roman"/>
          <w:sz w:val="32"/>
          <w:szCs w:val="32"/>
        </w:rPr>
      </w:pPr>
    </w:p>
    <w:p w14:paraId="1E75641A">
      <w:pPr>
        <w:widowControl/>
        <w:spacing w:line="600" w:lineRule="exact"/>
        <w:jc w:val="left"/>
        <w:rPr>
          <w:rFonts w:hint="default" w:ascii="Times New Roman" w:hAnsi="Times New Roman" w:eastAsia="黑体" w:cs="Times New Roman"/>
          <w:sz w:val="32"/>
          <w:szCs w:val="32"/>
        </w:rPr>
      </w:pPr>
    </w:p>
    <w:p w14:paraId="36665896">
      <w:pPr>
        <w:widowControl/>
        <w:spacing w:line="600" w:lineRule="exact"/>
        <w:jc w:val="left"/>
        <w:rPr>
          <w:rFonts w:hint="default" w:ascii="Times New Roman" w:hAnsi="Times New Roman" w:eastAsia="黑体" w:cs="Times New Roman"/>
          <w:sz w:val="32"/>
          <w:szCs w:val="32"/>
        </w:rPr>
      </w:pPr>
    </w:p>
    <w:p w14:paraId="7DDEBEBC">
      <w:pPr>
        <w:widowControl/>
        <w:spacing w:line="600" w:lineRule="exact"/>
        <w:jc w:val="left"/>
        <w:rPr>
          <w:rFonts w:hint="default" w:ascii="Times New Roman" w:hAnsi="Times New Roman" w:eastAsia="黑体" w:cs="Times New Roman"/>
          <w:sz w:val="32"/>
          <w:szCs w:val="32"/>
        </w:rPr>
      </w:pPr>
    </w:p>
    <w:p w14:paraId="44A64D41">
      <w:pPr>
        <w:widowControl/>
        <w:spacing w:line="600" w:lineRule="exact"/>
        <w:jc w:val="left"/>
        <w:rPr>
          <w:rFonts w:hint="default" w:ascii="Times New Roman" w:hAnsi="Times New Roman" w:eastAsia="黑体" w:cs="Times New Roman"/>
          <w:sz w:val="32"/>
          <w:szCs w:val="32"/>
        </w:rPr>
      </w:pPr>
    </w:p>
    <w:p w14:paraId="7B0EB08E">
      <w:pPr>
        <w:widowControl/>
        <w:spacing w:line="600" w:lineRule="exact"/>
        <w:jc w:val="left"/>
        <w:rPr>
          <w:rFonts w:hint="default" w:ascii="Times New Roman" w:hAnsi="Times New Roman" w:eastAsia="黑体" w:cs="Times New Roman"/>
          <w:sz w:val="32"/>
          <w:szCs w:val="32"/>
        </w:rPr>
      </w:pPr>
    </w:p>
    <w:p w14:paraId="66997EFC">
      <w:pPr>
        <w:widowControl/>
        <w:spacing w:line="600" w:lineRule="exact"/>
        <w:jc w:val="left"/>
        <w:rPr>
          <w:rFonts w:hint="default" w:ascii="Times New Roman" w:hAnsi="Times New Roman" w:eastAsia="黑体" w:cs="Times New Roman"/>
          <w:sz w:val="32"/>
          <w:szCs w:val="32"/>
        </w:rPr>
      </w:pPr>
    </w:p>
    <w:p w14:paraId="7DE7192F">
      <w:pPr>
        <w:widowControl/>
        <w:spacing w:line="600" w:lineRule="exact"/>
        <w:jc w:val="left"/>
        <w:rPr>
          <w:rFonts w:hint="default" w:ascii="Times New Roman" w:hAnsi="Times New Roman" w:eastAsia="黑体" w:cs="Times New Roman"/>
          <w:sz w:val="32"/>
          <w:szCs w:val="32"/>
        </w:rPr>
      </w:pPr>
    </w:p>
    <w:p w14:paraId="1241FD3E">
      <w:pPr>
        <w:widowControl/>
        <w:spacing w:line="600" w:lineRule="exact"/>
        <w:jc w:val="left"/>
        <w:rPr>
          <w:rFonts w:hint="default" w:ascii="Times New Roman" w:hAnsi="Times New Roman" w:eastAsia="黑体" w:cs="Times New Roman"/>
          <w:sz w:val="32"/>
          <w:szCs w:val="32"/>
        </w:rPr>
      </w:pPr>
    </w:p>
    <w:p w14:paraId="1F60A6F0">
      <w:pPr>
        <w:widowControl/>
        <w:spacing w:line="600" w:lineRule="exact"/>
        <w:ind w:firstLine="716" w:firstLineChars="200"/>
        <w:jc w:val="center"/>
        <w:rPr>
          <w:rFonts w:hint="default" w:ascii="Times New Roman" w:hAnsi="Times New Roman" w:eastAsia="方正小标宋_GBK" w:cs="Times New Roman"/>
          <w:bCs/>
          <w:kern w:val="0"/>
          <w:sz w:val="36"/>
          <w:szCs w:val="36"/>
        </w:rPr>
      </w:pPr>
      <w:r>
        <w:rPr>
          <w:rFonts w:hint="default" w:ascii="Times New Roman" w:hAnsi="Times New Roman" w:eastAsia="方正小标宋_GBK" w:cs="Times New Roman"/>
          <w:bCs/>
          <w:kern w:val="0"/>
          <w:sz w:val="36"/>
          <w:szCs w:val="36"/>
        </w:rPr>
        <w:t xml:space="preserve">第二部分 </w:t>
      </w:r>
      <w:r>
        <w:rPr>
          <w:rFonts w:hint="eastAsia" w:ascii="Times New Roman" w:hAnsi="Times New Roman" w:eastAsia="方正小标宋_GBK" w:cs="Times New Roman"/>
          <w:bCs/>
          <w:kern w:val="0"/>
          <w:sz w:val="36"/>
          <w:szCs w:val="36"/>
          <w:lang w:eastAsia="zh-CN"/>
        </w:rPr>
        <w:t>2025年</w:t>
      </w:r>
      <w:r>
        <w:rPr>
          <w:rFonts w:hint="default" w:ascii="Times New Roman" w:hAnsi="Times New Roman" w:eastAsia="方正小标宋_GBK" w:cs="Times New Roman"/>
          <w:bCs/>
          <w:kern w:val="0"/>
          <w:sz w:val="36"/>
          <w:szCs w:val="36"/>
        </w:rPr>
        <w:t>单位预算表</w:t>
      </w:r>
    </w:p>
    <w:p w14:paraId="35C87E42">
      <w:pPr>
        <w:widowControl/>
        <w:spacing w:line="600" w:lineRule="exact"/>
        <w:jc w:val="left"/>
        <w:rPr>
          <w:rFonts w:hint="default" w:ascii="Times New Roman" w:hAnsi="Times New Roman" w:eastAsia="黑体" w:cs="Times New Roman"/>
          <w:sz w:val="32"/>
          <w:szCs w:val="32"/>
        </w:rPr>
      </w:pPr>
    </w:p>
    <w:p w14:paraId="7B421DD0">
      <w:pPr>
        <w:widowControl/>
        <w:spacing w:line="600" w:lineRule="exact"/>
        <w:jc w:val="left"/>
        <w:rPr>
          <w:rFonts w:hint="default" w:ascii="Times New Roman" w:hAnsi="Times New Roman" w:eastAsia="黑体" w:cs="Times New Roman"/>
          <w:sz w:val="32"/>
          <w:szCs w:val="32"/>
        </w:rPr>
      </w:pPr>
    </w:p>
    <w:p w14:paraId="2A29BFFA">
      <w:pPr>
        <w:widowControl/>
        <w:spacing w:line="600" w:lineRule="exact"/>
        <w:jc w:val="left"/>
        <w:rPr>
          <w:rFonts w:hint="default" w:ascii="Times New Roman" w:hAnsi="Times New Roman" w:eastAsia="黑体" w:cs="Times New Roman"/>
          <w:sz w:val="32"/>
          <w:szCs w:val="32"/>
        </w:rPr>
      </w:pPr>
    </w:p>
    <w:p w14:paraId="24B9C986">
      <w:pPr>
        <w:widowControl/>
        <w:spacing w:line="600" w:lineRule="exact"/>
        <w:jc w:val="left"/>
        <w:rPr>
          <w:rFonts w:hint="default" w:ascii="Times New Roman" w:hAnsi="Times New Roman" w:eastAsia="黑体" w:cs="Times New Roman"/>
          <w:sz w:val="32"/>
          <w:szCs w:val="32"/>
        </w:rPr>
      </w:pPr>
    </w:p>
    <w:p w14:paraId="1011C40C">
      <w:pPr>
        <w:widowControl/>
        <w:spacing w:line="600" w:lineRule="exact"/>
        <w:jc w:val="left"/>
        <w:rPr>
          <w:rFonts w:hint="default" w:ascii="Times New Roman" w:hAnsi="Times New Roman" w:eastAsia="黑体" w:cs="Times New Roman"/>
          <w:sz w:val="32"/>
          <w:szCs w:val="32"/>
        </w:rPr>
      </w:pPr>
    </w:p>
    <w:p w14:paraId="0D0927C7">
      <w:pPr>
        <w:widowControl/>
        <w:spacing w:line="600" w:lineRule="exact"/>
        <w:jc w:val="left"/>
        <w:rPr>
          <w:rFonts w:hint="default" w:ascii="Times New Roman" w:hAnsi="Times New Roman" w:eastAsia="黑体" w:cs="Times New Roman"/>
          <w:sz w:val="32"/>
          <w:szCs w:val="32"/>
        </w:rPr>
      </w:pPr>
    </w:p>
    <w:p w14:paraId="6F7D006B">
      <w:pPr>
        <w:widowControl/>
        <w:spacing w:line="600" w:lineRule="exact"/>
        <w:jc w:val="left"/>
        <w:rPr>
          <w:rFonts w:hint="default" w:ascii="Times New Roman" w:hAnsi="Times New Roman" w:eastAsia="黑体" w:cs="Times New Roman"/>
          <w:sz w:val="32"/>
          <w:szCs w:val="32"/>
        </w:rPr>
      </w:pPr>
    </w:p>
    <w:p w14:paraId="6FD671A5">
      <w:pPr>
        <w:widowControl/>
        <w:spacing w:line="600" w:lineRule="exact"/>
        <w:jc w:val="left"/>
        <w:rPr>
          <w:rFonts w:hint="default" w:ascii="Times New Roman" w:hAnsi="Times New Roman" w:eastAsia="黑体" w:cs="Times New Roman"/>
          <w:sz w:val="32"/>
          <w:szCs w:val="32"/>
        </w:rPr>
      </w:pPr>
    </w:p>
    <w:p w14:paraId="4DF5BC44">
      <w:pPr>
        <w:widowControl/>
        <w:spacing w:line="600" w:lineRule="exact"/>
        <w:jc w:val="left"/>
        <w:rPr>
          <w:rFonts w:hint="default" w:ascii="Times New Roman" w:hAnsi="Times New Roman" w:eastAsia="黑体" w:cs="Times New Roman"/>
          <w:sz w:val="32"/>
          <w:szCs w:val="32"/>
        </w:rPr>
      </w:pPr>
    </w:p>
    <w:p w14:paraId="54F7A25C">
      <w:pPr>
        <w:widowControl/>
        <w:spacing w:line="600" w:lineRule="exact"/>
        <w:jc w:val="left"/>
        <w:rPr>
          <w:rFonts w:hint="default" w:ascii="Times New Roman" w:hAnsi="Times New Roman" w:eastAsia="黑体" w:cs="Times New Roman"/>
          <w:sz w:val="32"/>
          <w:szCs w:val="32"/>
        </w:rPr>
      </w:pPr>
    </w:p>
    <w:p w14:paraId="2B1AA17E">
      <w:pPr>
        <w:widowControl/>
        <w:spacing w:line="600" w:lineRule="exact"/>
        <w:jc w:val="left"/>
        <w:rPr>
          <w:rFonts w:hint="default" w:ascii="Times New Roman" w:hAnsi="Times New Roman" w:eastAsia="黑体" w:cs="Times New Roman"/>
          <w:sz w:val="32"/>
          <w:szCs w:val="32"/>
        </w:rPr>
      </w:pPr>
    </w:p>
    <w:p w14:paraId="09F32047">
      <w:pPr>
        <w:widowControl/>
        <w:spacing w:line="600" w:lineRule="exact"/>
        <w:jc w:val="left"/>
        <w:rPr>
          <w:rFonts w:hint="default" w:ascii="Times New Roman" w:hAnsi="Times New Roman" w:eastAsia="黑体" w:cs="Times New Roman"/>
          <w:sz w:val="32"/>
          <w:szCs w:val="32"/>
        </w:rPr>
      </w:pPr>
    </w:p>
    <w:p w14:paraId="28958FBD">
      <w:pPr>
        <w:widowControl/>
        <w:spacing w:line="600" w:lineRule="exact"/>
        <w:jc w:val="left"/>
        <w:rPr>
          <w:rFonts w:hint="default" w:ascii="Times New Roman" w:hAnsi="Times New Roman" w:eastAsia="黑体" w:cs="Times New Roman"/>
          <w:sz w:val="32"/>
          <w:szCs w:val="32"/>
        </w:rPr>
      </w:pPr>
    </w:p>
    <w:p w14:paraId="1676EAF5">
      <w:pPr>
        <w:widowControl/>
        <w:spacing w:line="600" w:lineRule="exact"/>
        <w:jc w:val="left"/>
        <w:rPr>
          <w:rFonts w:hint="default" w:ascii="Times New Roman" w:hAnsi="Times New Roman" w:eastAsia="黑体" w:cs="Times New Roman"/>
          <w:sz w:val="32"/>
          <w:szCs w:val="32"/>
        </w:rPr>
      </w:pPr>
    </w:p>
    <w:p w14:paraId="2C4158B0">
      <w:pPr>
        <w:widowControl/>
        <w:spacing w:line="600" w:lineRule="exact"/>
        <w:jc w:val="left"/>
        <w:rPr>
          <w:rFonts w:hint="default" w:ascii="Times New Roman" w:hAnsi="Times New Roman" w:eastAsia="黑体" w:cs="Times New Roman"/>
          <w:sz w:val="32"/>
          <w:szCs w:val="32"/>
        </w:rPr>
      </w:pPr>
    </w:p>
    <w:p w14:paraId="552A01F8">
      <w:pPr>
        <w:widowControl/>
        <w:spacing w:line="600" w:lineRule="exact"/>
        <w:jc w:val="left"/>
        <w:rPr>
          <w:rFonts w:hint="default" w:ascii="Times New Roman" w:hAnsi="Times New Roman" w:eastAsia="黑体" w:cs="Times New Roman"/>
          <w:sz w:val="32"/>
          <w:szCs w:val="32"/>
        </w:rPr>
      </w:pPr>
    </w:p>
    <w:p w14:paraId="0E14BB6C">
      <w:pPr>
        <w:widowControl/>
        <w:spacing w:line="600" w:lineRule="exact"/>
        <w:jc w:val="left"/>
        <w:rPr>
          <w:rFonts w:hint="default" w:ascii="Times New Roman" w:hAnsi="Times New Roman" w:eastAsia="黑体" w:cs="Times New Roman"/>
          <w:sz w:val="32"/>
          <w:szCs w:val="32"/>
        </w:rPr>
      </w:pPr>
    </w:p>
    <w:p w14:paraId="537A1285">
      <w:pPr>
        <w:widowControl/>
        <w:spacing w:line="600" w:lineRule="exact"/>
        <w:jc w:val="left"/>
        <w:rPr>
          <w:rFonts w:hint="default" w:ascii="Times New Roman" w:hAnsi="Times New Roman" w:eastAsia="黑体" w:cs="Times New Roman"/>
          <w:sz w:val="32"/>
          <w:szCs w:val="32"/>
        </w:rPr>
      </w:pPr>
    </w:p>
    <w:p w14:paraId="37F3DA9E">
      <w:pPr>
        <w:widowControl/>
        <w:spacing w:line="600" w:lineRule="exact"/>
        <w:jc w:val="left"/>
        <w:rPr>
          <w:rFonts w:hint="default" w:ascii="Times New Roman" w:hAnsi="Times New Roman" w:eastAsia="黑体" w:cs="Times New Roman"/>
          <w:sz w:val="32"/>
          <w:szCs w:val="32"/>
        </w:rPr>
      </w:pPr>
    </w:p>
    <w:p w14:paraId="52EF14EA">
      <w:pPr>
        <w:widowControl/>
        <w:spacing w:line="600" w:lineRule="exact"/>
        <w:jc w:val="left"/>
        <w:rPr>
          <w:rFonts w:hint="default" w:ascii="Times New Roman" w:hAnsi="Times New Roman" w:eastAsia="黑体" w:cs="Times New Roman"/>
          <w:sz w:val="32"/>
          <w:szCs w:val="32"/>
        </w:rPr>
      </w:pPr>
    </w:p>
    <w:p w14:paraId="29152A00">
      <w:pPr>
        <w:widowControl/>
        <w:spacing w:line="600" w:lineRule="exact"/>
        <w:jc w:val="left"/>
        <w:rPr>
          <w:rFonts w:hint="default" w:ascii="Times New Roman" w:hAnsi="Times New Roman" w:eastAsia="黑体" w:cs="Times New Roman"/>
          <w:sz w:val="32"/>
          <w:szCs w:val="32"/>
        </w:rPr>
      </w:pPr>
    </w:p>
    <w:p w14:paraId="1773A581">
      <w:pPr>
        <w:widowControl/>
        <w:spacing w:line="600" w:lineRule="exact"/>
        <w:jc w:val="left"/>
        <w:rPr>
          <w:rFonts w:hint="default" w:ascii="Times New Roman" w:hAnsi="Times New Roman" w:eastAsia="黑体" w:cs="Times New Roman"/>
          <w:sz w:val="32"/>
          <w:szCs w:val="32"/>
        </w:rPr>
      </w:pPr>
    </w:p>
    <w:p w14:paraId="023D75CC">
      <w:pPr>
        <w:widowControl/>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bCs/>
          <w:kern w:val="0"/>
          <w:sz w:val="32"/>
          <w:szCs w:val="32"/>
        </w:rPr>
        <w:t>附件</w:t>
      </w:r>
      <w:r>
        <w:rPr>
          <w:rFonts w:hint="default" w:ascii="Times New Roman" w:hAnsi="Times New Roman" w:eastAsia="黑体" w:cs="Times New Roman"/>
          <w:bCs/>
          <w:kern w:val="0"/>
          <w:sz w:val="32"/>
          <w:szCs w:val="32"/>
          <w:lang w:val="en-US" w:eastAsia="zh-CN"/>
        </w:rPr>
        <w:t>4</w:t>
      </w:r>
    </w:p>
    <w:p w14:paraId="6F06DDA4">
      <w:pPr>
        <w:widowControl/>
        <w:spacing w:line="600" w:lineRule="exact"/>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公开内容上传公开平台有关要求</w:t>
      </w:r>
    </w:p>
    <w:p w14:paraId="72550272">
      <w:pPr>
        <w:widowControl/>
        <w:spacing w:line="600" w:lineRule="exact"/>
        <w:jc w:val="center"/>
        <w:rPr>
          <w:rFonts w:hint="default" w:ascii="Times New Roman" w:hAnsi="Times New Roman" w:eastAsia="方正小标宋_GBK" w:cs="Times New Roman"/>
          <w:sz w:val="44"/>
          <w:szCs w:val="44"/>
        </w:rPr>
      </w:pPr>
    </w:p>
    <w:p w14:paraId="07C194CE">
      <w:pPr>
        <w:spacing w:line="600" w:lineRule="exact"/>
        <w:ind w:firstLine="636"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1、部门预算公开。</w:t>
      </w:r>
      <w:r>
        <w:rPr>
          <w:rFonts w:hint="default" w:ascii="Times New Roman" w:hAnsi="Times New Roman" w:eastAsia="仿宋_GB2312" w:cs="Times New Roman"/>
          <w:sz w:val="32"/>
          <w:szCs w:val="32"/>
        </w:rPr>
        <w:t>请各处室于</w:t>
      </w:r>
      <w:r>
        <w:rPr>
          <w:rFonts w:hint="default" w:ascii="Times New Roman" w:hAnsi="Times New Roman" w:eastAsia="仿宋_GB2312" w:cs="Times New Roman"/>
          <w:b/>
          <w:bCs/>
          <w:sz w:val="32"/>
          <w:szCs w:val="32"/>
        </w:rPr>
        <w:t>2月</w:t>
      </w:r>
      <w:r>
        <w:rPr>
          <w:rFonts w:hint="eastAsia" w:ascii="Times New Roman" w:hAnsi="Times New Roman" w:eastAsia="仿宋_GB2312" w:cs="Times New Roman"/>
          <w:b/>
          <w:bCs/>
          <w:sz w:val="32"/>
          <w:szCs w:val="32"/>
          <w:lang w:val="en-US" w:eastAsia="zh-CN"/>
        </w:rPr>
        <w:t>19</w:t>
      </w:r>
      <w:r>
        <w:rPr>
          <w:rFonts w:hint="default" w:ascii="Times New Roman" w:hAnsi="Times New Roman" w:eastAsia="仿宋_GB2312" w:cs="Times New Roman"/>
          <w:b/>
          <w:bCs/>
          <w:sz w:val="32"/>
          <w:szCs w:val="32"/>
        </w:rPr>
        <w:t>日</w:t>
      </w:r>
      <w:r>
        <w:rPr>
          <w:rFonts w:hint="default" w:ascii="Times New Roman" w:hAnsi="Times New Roman" w:eastAsia="仿宋_GB2312" w:cs="Times New Roman"/>
          <w:sz w:val="32"/>
          <w:szCs w:val="32"/>
          <w:lang w:eastAsia="zh-CN"/>
        </w:rPr>
        <w:t>（周</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前收齐部门预算公开说明及表格，并督促部门统一公开说明及附表名称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w:t>
      </w:r>
      <w:r>
        <w:rPr>
          <w:rFonts w:hint="eastAsia" w:ascii="Times New Roman" w:hAnsi="Times New Roman" w:eastAsia="仿宋_GB2312" w:cs="Times New Roman"/>
          <w:sz w:val="32"/>
          <w:szCs w:val="32"/>
          <w:lang w:eastAsia="zh-CN"/>
        </w:rPr>
        <w:t>件</w:t>
      </w:r>
      <w:r>
        <w:rPr>
          <w:rFonts w:hint="default" w:ascii="Times New Roman" w:hAnsi="Times New Roman" w:eastAsia="仿宋_GB2312" w:cs="Times New Roman"/>
          <w:sz w:val="32"/>
          <w:szCs w:val="32"/>
        </w:rPr>
        <w:t>名为“xx部门</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部门预算公开说明”及“xx部门</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部门预算表”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，放入命名为“提交日期+xx部门</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部门预算公开”的文件夹中</w:t>
      </w:r>
      <w:r>
        <w:rPr>
          <w:rFonts w:hint="eastAsia" w:ascii="Times New Roman" w:hAnsi="Times New Roman" w:eastAsia="仿宋_GB2312" w:cs="Times New Roman"/>
          <w:sz w:val="32"/>
          <w:szCs w:val="32"/>
          <w:lang w:eastAsia="zh-CN"/>
        </w:rPr>
        <w:t>打包提交</w:t>
      </w:r>
      <w:r>
        <w:rPr>
          <w:rFonts w:hint="default" w:ascii="Times New Roman" w:hAnsi="Times New Roman" w:eastAsia="仿宋_GB2312" w:cs="Times New Roman"/>
          <w:sz w:val="32"/>
          <w:szCs w:val="32"/>
        </w:rPr>
        <w:t>。</w:t>
      </w:r>
    </w:p>
    <w:p w14:paraId="3ADF1C15">
      <w:pPr>
        <w:spacing w:line="600" w:lineRule="exact"/>
        <w:ind w:firstLine="636"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2、单位预算公开。</w:t>
      </w:r>
      <w:r>
        <w:rPr>
          <w:rFonts w:hint="default" w:ascii="Times New Roman" w:hAnsi="Times New Roman" w:eastAsia="仿宋_GB2312" w:cs="Times New Roman"/>
          <w:sz w:val="32"/>
          <w:szCs w:val="32"/>
        </w:rPr>
        <w:t>请各处室于</w:t>
      </w:r>
      <w:r>
        <w:rPr>
          <w:rFonts w:hint="default" w:ascii="Times New Roman" w:hAnsi="Times New Roman" w:eastAsia="仿宋_GB2312" w:cs="Times New Roman"/>
          <w:b/>
          <w:bCs/>
          <w:sz w:val="32"/>
          <w:szCs w:val="32"/>
        </w:rPr>
        <w:t>3月</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日</w:t>
      </w:r>
      <w:r>
        <w:rPr>
          <w:rFonts w:hint="default" w:ascii="Times New Roman" w:hAnsi="Times New Roman" w:eastAsia="仿宋_GB2312" w:cs="Times New Roman"/>
          <w:sz w:val="32"/>
          <w:szCs w:val="32"/>
          <w:lang w:eastAsia="zh-CN"/>
        </w:rPr>
        <w:t>（周</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前收齐单位预算公开说明及表格，并督促部门要求单位统一公开说明及附表名称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w:t>
      </w:r>
      <w:r>
        <w:rPr>
          <w:rFonts w:hint="eastAsia" w:ascii="Times New Roman" w:hAnsi="Times New Roman" w:eastAsia="仿宋_GB2312" w:cs="Times New Roman"/>
          <w:sz w:val="32"/>
          <w:szCs w:val="32"/>
          <w:lang w:eastAsia="zh-CN"/>
        </w:rPr>
        <w:t>件</w:t>
      </w:r>
      <w:r>
        <w:rPr>
          <w:rFonts w:hint="default" w:ascii="Times New Roman" w:hAnsi="Times New Roman" w:eastAsia="仿宋_GB2312" w:cs="Times New Roman"/>
          <w:sz w:val="32"/>
          <w:szCs w:val="32"/>
        </w:rPr>
        <w:t>名为“xx单位</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预算公开说明”及“xx单位</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预算表”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，放入命名为“xx单位</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预算公开”的文件夹中。各部门将其所属单位预算公开文件夹</w:t>
      </w:r>
      <w:r>
        <w:rPr>
          <w:rFonts w:hint="eastAsia" w:ascii="Times New Roman" w:hAnsi="Times New Roman" w:eastAsia="仿宋_GB2312" w:cs="Times New Roman"/>
          <w:sz w:val="32"/>
          <w:szCs w:val="32"/>
          <w:lang w:eastAsia="zh-CN"/>
        </w:rPr>
        <w:t>收齐并</w:t>
      </w:r>
      <w:r>
        <w:rPr>
          <w:rFonts w:hint="default" w:ascii="Times New Roman" w:hAnsi="Times New Roman" w:eastAsia="仿宋_GB2312" w:cs="Times New Roman"/>
          <w:sz w:val="32"/>
          <w:szCs w:val="32"/>
        </w:rPr>
        <w:t>归集在命名为“提交日期+xx部门所属单位</w:t>
      </w:r>
      <w:r>
        <w:rPr>
          <w:rFonts w:hint="eastAsia"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预算公开”的文件夹中</w:t>
      </w:r>
      <w:r>
        <w:rPr>
          <w:rFonts w:hint="eastAsia" w:ascii="Times New Roman" w:hAnsi="Times New Roman" w:eastAsia="仿宋_GB2312" w:cs="Times New Roman"/>
          <w:sz w:val="32"/>
          <w:szCs w:val="32"/>
          <w:lang w:eastAsia="zh-CN"/>
        </w:rPr>
        <w:t>打包</w:t>
      </w:r>
      <w:r>
        <w:rPr>
          <w:rFonts w:hint="default" w:ascii="Times New Roman" w:hAnsi="Times New Roman" w:eastAsia="仿宋_GB2312" w:cs="Times New Roman"/>
          <w:sz w:val="32"/>
          <w:szCs w:val="32"/>
        </w:rPr>
        <w:t>提交，务必做到一个部门一个文件夹</w:t>
      </w:r>
      <w:r>
        <w:rPr>
          <w:rFonts w:hint="eastAsia" w:ascii="Times New Roman" w:hAnsi="Times New Roman" w:eastAsia="仿宋_GB2312" w:cs="Times New Roman"/>
          <w:sz w:val="32"/>
          <w:szCs w:val="32"/>
          <w:lang w:eastAsia="zh-CN"/>
        </w:rPr>
        <w:t>归总</w:t>
      </w:r>
      <w:r>
        <w:rPr>
          <w:rFonts w:hint="default" w:ascii="Times New Roman" w:hAnsi="Times New Roman" w:eastAsia="仿宋_GB2312" w:cs="Times New Roman"/>
          <w:sz w:val="32"/>
          <w:szCs w:val="32"/>
        </w:rPr>
        <w:t>。</w:t>
      </w:r>
    </w:p>
    <w:p w14:paraId="05E6BD72">
      <w:pPr>
        <w:spacing w:line="600" w:lineRule="exact"/>
        <w:ind w:firstLine="636"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保证</w:t>
      </w:r>
      <w:r>
        <w:rPr>
          <w:rFonts w:hint="default" w:ascii="Times New Roman" w:hAnsi="Times New Roman" w:eastAsia="仿宋_GB2312" w:cs="Times New Roman"/>
          <w:sz w:val="32"/>
          <w:szCs w:val="32"/>
        </w:rPr>
        <w:t>公开</w:t>
      </w:r>
      <w:r>
        <w:rPr>
          <w:rFonts w:hint="eastAsia" w:ascii="Times New Roman" w:hAnsi="Times New Roman" w:eastAsia="仿宋_GB2312" w:cs="Times New Roman"/>
          <w:sz w:val="32"/>
          <w:szCs w:val="32"/>
          <w:lang w:eastAsia="zh-CN"/>
        </w:rPr>
        <w:t>文件的格式规范，内容编辑制作过程不可查看</w:t>
      </w:r>
      <w:r>
        <w:rPr>
          <w:rFonts w:hint="default" w:ascii="Times New Roman" w:hAnsi="Times New Roman" w:eastAsia="仿宋_GB2312" w:cs="Times New Roman"/>
          <w:sz w:val="32"/>
          <w:szCs w:val="32"/>
        </w:rPr>
        <w:t>，建议部门和单位将公开说明及附表转换为PDF格式。</w:t>
      </w:r>
      <w:r>
        <w:rPr>
          <w:rFonts w:hint="eastAsia" w:ascii="Times New Roman" w:hAnsi="Times New Roman" w:eastAsia="仿宋_GB2312" w:cs="Times New Roman"/>
          <w:b/>
          <w:bCs/>
          <w:sz w:val="32"/>
          <w:szCs w:val="32"/>
          <w:lang w:val="en-US" w:eastAsia="zh-CN"/>
        </w:rPr>
        <w:t>PDF内容务必认真核对，确保与转换前内容一致，没有缺漏。</w:t>
      </w:r>
    </w:p>
    <w:p w14:paraId="266EA37D">
      <w:pPr>
        <w:spacing w:line="600" w:lineRule="exact"/>
        <w:ind w:firstLine="63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请各处室按期收齐部门和单位公开资料，</w:t>
      </w:r>
      <w:r>
        <w:rPr>
          <w:rFonts w:hint="eastAsia" w:ascii="Times New Roman" w:hAnsi="Times New Roman" w:eastAsia="仿宋_GB2312" w:cs="Times New Roman"/>
          <w:sz w:val="32"/>
          <w:szCs w:val="32"/>
          <w:lang w:eastAsia="zh-CN"/>
        </w:rPr>
        <w:t>确认文件夹、文件名称规范无误后，</w:t>
      </w:r>
      <w:r>
        <w:rPr>
          <w:rFonts w:hint="default" w:ascii="Times New Roman" w:hAnsi="Times New Roman" w:eastAsia="仿宋_GB2312" w:cs="Times New Roman"/>
          <w:b/>
          <w:bCs/>
          <w:sz w:val="32"/>
          <w:szCs w:val="32"/>
        </w:rPr>
        <w:t>通过内网邮件发送至预决算公开专用邮箱（邮箱名：财政预决算公开czyjsgk@hnczt.com），</w:t>
      </w:r>
      <w:r>
        <w:rPr>
          <w:rFonts w:hint="default" w:ascii="Times New Roman" w:hAnsi="Times New Roman" w:eastAsia="仿宋_GB2312" w:cs="Times New Roman"/>
          <w:sz w:val="32"/>
          <w:szCs w:val="32"/>
        </w:rPr>
        <w:t>由厅办公室上传至省预决算集中公开平台。</w:t>
      </w:r>
    </w:p>
    <w:p w14:paraId="349873BC">
      <w:pPr>
        <w:spacing w:line="600" w:lineRule="exact"/>
        <w:ind w:firstLine="63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val="en-US" w:eastAsia="zh-CN"/>
        </w:rPr>
        <w:t>罗雨晴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85165865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609</w:t>
      </w:r>
      <w:r>
        <w:rPr>
          <w:rFonts w:hint="default" w:ascii="Times New Roman" w:hAnsi="Times New Roman" w:eastAsia="仿宋_GB2312" w:cs="Times New Roman"/>
          <w:sz w:val="32"/>
          <w:szCs w:val="32"/>
        </w:rPr>
        <w:t>室</w:t>
      </w:r>
    </w:p>
    <w:p w14:paraId="112D5A6A">
      <w:pPr>
        <w:spacing w:line="600" w:lineRule="exact"/>
        <w:ind w:firstLine="636" w:firstLineChars="200"/>
        <w:rPr>
          <w:rFonts w:hint="default" w:ascii="Times New Roman" w:hAnsi="Times New Roman" w:eastAsia="仿宋_GB2312" w:cs="Times New Roman"/>
          <w:sz w:val="32"/>
          <w:szCs w:val="32"/>
        </w:rPr>
        <w:sectPr>
          <w:pgSz w:w="11907" w:h="16840"/>
          <w:pgMar w:top="1417" w:right="1587" w:bottom="1417" w:left="1587" w:header="851" w:footer="992" w:gutter="0"/>
          <w:cols w:space="720" w:num="1"/>
          <w:docGrid w:type="linesAndChars" w:linePitch="495" w:charSpace="-594"/>
        </w:sectPr>
      </w:pPr>
    </w:p>
    <w:p w14:paraId="6E54B74A">
      <w:pPr>
        <w:widowControl/>
        <w:spacing w:line="600" w:lineRule="exact"/>
        <w:jc w:val="left"/>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附件</w:t>
      </w:r>
      <w:r>
        <w:rPr>
          <w:rFonts w:hint="default" w:ascii="Times New Roman" w:hAnsi="Times New Roman" w:eastAsia="黑体" w:cs="Times New Roman"/>
          <w:bCs/>
          <w:kern w:val="0"/>
          <w:sz w:val="32"/>
          <w:szCs w:val="32"/>
          <w:lang w:val="en-US" w:eastAsia="zh-CN"/>
        </w:rPr>
        <w:t>5</w:t>
      </w:r>
    </w:p>
    <w:p w14:paraId="13878BD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方正小标宋_GBK" w:cs="Times New Roman"/>
          <w:sz w:val="36"/>
          <w:szCs w:val="36"/>
          <w:lang w:eastAsia="zh-CN"/>
        </w:rPr>
        <w:t>预算公开常见问题提示清单</w:t>
      </w:r>
    </w:p>
    <w:p w14:paraId="6119362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p>
    <w:p w14:paraId="3C45408D">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结合近年来预算公开检查情况，我们梳理形成了部分常见问题清单，请各部门预算处在审核部门、单位预算公开情况时重点关注。</w:t>
      </w:r>
    </w:p>
    <w:p w14:paraId="5DABE5BC">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一、内容完整性方面</w:t>
      </w:r>
    </w:p>
    <w:p w14:paraId="1DD76052">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1、部门所属单位预算未全部公开</w:t>
      </w:r>
    </w:p>
    <w:p w14:paraId="7F6C9EE2">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2、未公开一般公共预算基本支出情况表</w:t>
      </w:r>
    </w:p>
    <w:p w14:paraId="7A0BF116">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3、未公开一般公共预算“三公”经费支出情况表</w:t>
      </w:r>
    </w:p>
    <w:p w14:paraId="0609E1F4">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4、部门</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主要职责及机构设置情况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预算收支增减变化情况、运行经费安排情况、政府采购安排情况</w:t>
      </w:r>
      <w:r>
        <w:rPr>
          <w:rFonts w:hint="eastAsia" w:ascii="Times New Roman" w:hAnsi="Times New Roman" w:eastAsia="仿宋_GB2312" w:cs="Times New Roman"/>
          <w:sz w:val="32"/>
          <w:szCs w:val="32"/>
          <w:lang w:val="en-US" w:eastAsia="zh-CN"/>
        </w:rPr>
        <w:t>、预算绩效目标</w:t>
      </w:r>
      <w:r>
        <w:rPr>
          <w:rFonts w:hint="default" w:ascii="Times New Roman" w:hAnsi="Times New Roman" w:eastAsia="仿宋_GB2312" w:cs="Times New Roman"/>
          <w:sz w:val="32"/>
          <w:szCs w:val="32"/>
          <w:lang w:val="en-US" w:eastAsia="zh-CN"/>
        </w:rPr>
        <w:t>等未作说明</w:t>
      </w:r>
    </w:p>
    <w:p w14:paraId="634E6F42">
      <w:pPr>
        <w:keepNext w:val="0"/>
        <w:keepLines w:val="0"/>
        <w:pageBreakBefore w:val="0"/>
        <w:widowControl/>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bCs/>
          <w:kern w:val="0"/>
          <w:sz w:val="32"/>
          <w:szCs w:val="32"/>
        </w:rPr>
        <w:t>本部门无相关收支情况</w:t>
      </w:r>
      <w:r>
        <w:rPr>
          <w:rFonts w:hint="default" w:ascii="Times New Roman" w:hAnsi="Times New Roman" w:eastAsia="仿宋_GB2312" w:cs="Times New Roman"/>
          <w:bCs/>
          <w:kern w:val="0"/>
          <w:sz w:val="32"/>
          <w:szCs w:val="32"/>
          <w:lang w:eastAsia="zh-CN"/>
        </w:rPr>
        <w:t>，未公开空表</w:t>
      </w:r>
    </w:p>
    <w:p w14:paraId="1AEF8217">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二、细化程度方面</w:t>
      </w:r>
    </w:p>
    <w:p w14:paraId="46F14158">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1、未公开“三公”经费增减变化情况等说明信息</w:t>
      </w:r>
    </w:p>
    <w:p w14:paraId="42DC11C2">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一般公共预算“三公”经费支出情况表未按“因公出国（境）费”、“公务用车购置及运行费”、“公务接待费”公开，“公务用车购置及运行费”未细化到“公务用车购置费”和“公务用车运行费”两个项目</w:t>
      </w:r>
    </w:p>
    <w:p w14:paraId="2445CDF4">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3、公开的一般公共预算支出情况表未按要求公开到功能分类项级科目。</w:t>
      </w:r>
    </w:p>
    <w:p w14:paraId="5B5D886E">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4、一般公共预算基本支出情况表未公开到经济性质分类款级科目。</w:t>
      </w:r>
    </w:p>
    <w:p w14:paraId="26C17F44">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三、及时性和其他方面</w:t>
      </w:r>
    </w:p>
    <w:p w14:paraId="135B1444">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1、在部门或单位门户网站上预算公开时间晚于预算法规定时限</w:t>
      </w:r>
    </w:p>
    <w:p w14:paraId="79FB35AF">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sz w:val="32"/>
          <w:szCs w:val="32"/>
          <w:lang w:val="en-US" w:eastAsia="zh-CN"/>
        </w:rPr>
        <w:t>2</w:t>
      </w:r>
      <w:r>
        <w:rPr>
          <w:rFonts w:hint="default" w:ascii="Times New Roman" w:hAnsi="Times New Roman" w:eastAsia="仿宋_GB2312" w:cs="Times New Roman"/>
          <w:sz w:val="32"/>
          <w:szCs w:val="32"/>
          <w:lang w:val="en-US" w:eastAsia="zh-CN"/>
        </w:rPr>
        <w:t>、未对在统一平台公开的预算编制目录</w:t>
      </w:r>
    </w:p>
    <w:p w14:paraId="757CF818">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3、预算公开网址链接失效</w:t>
      </w:r>
    </w:p>
    <w:p w14:paraId="143AFE9A">
      <w:pPr>
        <w:keepNext w:val="0"/>
        <w:keepLines w:val="0"/>
        <w:pageBreakBefore w:val="0"/>
        <w:kinsoku/>
        <w:wordWrap/>
        <w:overflowPunct/>
        <w:topLinePunct w:val="0"/>
        <w:autoSpaceDE/>
        <w:autoSpaceDN/>
        <w:bidi w:val="0"/>
        <w:adjustRightInd/>
        <w:snapToGrid/>
        <w:spacing w:line="600" w:lineRule="exact"/>
        <w:ind w:firstLine="636" w:firstLineChars="200"/>
        <w:textAlignment w:val="auto"/>
        <w:rPr>
          <w:rFonts w:eastAsia="黑体"/>
          <w:sz w:val="32"/>
          <w:szCs w:val="32"/>
        </w:rPr>
      </w:pPr>
      <w:r>
        <w:rPr>
          <w:rFonts w:hint="default" w:ascii="Times New Roman" w:hAnsi="Times New Roman" w:eastAsia="仿宋_GB2312" w:cs="Times New Roman"/>
          <w:sz w:val="32"/>
          <w:szCs w:val="32"/>
          <w:lang w:val="en-US" w:eastAsia="zh-CN"/>
        </w:rPr>
        <w:t>4、预算公开说明文字与公开报表数据不对应</w:t>
      </w:r>
    </w:p>
    <w:sectPr>
      <w:pgSz w:w="11907" w:h="16840"/>
      <w:pgMar w:top="1417" w:right="1587" w:bottom="1417" w:left="1587" w:header="851" w:footer="992" w:gutter="0"/>
      <w:cols w:space="720" w:num="1"/>
      <w:docGrid w:type="linesAndChars" w:linePitch="495" w:charSpace="-5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701A92-93E8-4CCB-A989-84D7DD3CA0B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9F717F2F-9AFE-419B-AD76-4775F69EB2F5}"/>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embedRegular r:id="rId3" w:fontKey="{CD462D05-7931-4A98-919D-BE9F45CA1B4C}"/>
  </w:font>
  <w:font w:name="楷体_GB2312">
    <w:panose1 w:val="02010609030101010101"/>
    <w:charset w:val="86"/>
    <w:family w:val="modern"/>
    <w:pitch w:val="default"/>
    <w:sig w:usb0="00000001" w:usb1="080E0000" w:usb2="00000000" w:usb3="00000000" w:csb0="00040000" w:csb1="00000000"/>
    <w:embedRegular r:id="rId4" w:fontKey="{45761BA9-22DC-44C1-A706-F492414B31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369A1">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lang/>
      </w:rPr>
      <w:t>2</w:t>
    </w:r>
    <w:r>
      <w:rPr>
        <w:rStyle w:val="8"/>
      </w:rPr>
      <w:fldChar w:fldCharType="end"/>
    </w:r>
  </w:p>
  <w:p w14:paraId="4AE7A89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7E7C3">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750C93D8">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27586">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27112C9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7F0"/>
    <w:rsid w:val="00001712"/>
    <w:rsid w:val="00053CAC"/>
    <w:rsid w:val="0005772A"/>
    <w:rsid w:val="00092386"/>
    <w:rsid w:val="000C34A8"/>
    <w:rsid w:val="000E4464"/>
    <w:rsid w:val="000E7E83"/>
    <w:rsid w:val="000F122D"/>
    <w:rsid w:val="0011067B"/>
    <w:rsid w:val="00112564"/>
    <w:rsid w:val="0012612A"/>
    <w:rsid w:val="00151067"/>
    <w:rsid w:val="001B2201"/>
    <w:rsid w:val="001B40A6"/>
    <w:rsid w:val="001D37CD"/>
    <w:rsid w:val="001D5D9C"/>
    <w:rsid w:val="00202517"/>
    <w:rsid w:val="00204DF7"/>
    <w:rsid w:val="00211A10"/>
    <w:rsid w:val="002375EE"/>
    <w:rsid w:val="00261A74"/>
    <w:rsid w:val="00291581"/>
    <w:rsid w:val="00295C4E"/>
    <w:rsid w:val="002A3A1B"/>
    <w:rsid w:val="002C2F37"/>
    <w:rsid w:val="002C41FC"/>
    <w:rsid w:val="002C6EDD"/>
    <w:rsid w:val="002F4545"/>
    <w:rsid w:val="00305B43"/>
    <w:rsid w:val="00334CF4"/>
    <w:rsid w:val="00350B2A"/>
    <w:rsid w:val="00360DDA"/>
    <w:rsid w:val="00363566"/>
    <w:rsid w:val="00373263"/>
    <w:rsid w:val="003734B2"/>
    <w:rsid w:val="003750F2"/>
    <w:rsid w:val="00376202"/>
    <w:rsid w:val="00394547"/>
    <w:rsid w:val="003A09E0"/>
    <w:rsid w:val="00410806"/>
    <w:rsid w:val="004133F4"/>
    <w:rsid w:val="00414270"/>
    <w:rsid w:val="00422990"/>
    <w:rsid w:val="00425148"/>
    <w:rsid w:val="004A4B5F"/>
    <w:rsid w:val="004C2937"/>
    <w:rsid w:val="004D0BA6"/>
    <w:rsid w:val="004F2317"/>
    <w:rsid w:val="005264EC"/>
    <w:rsid w:val="0053718A"/>
    <w:rsid w:val="00540119"/>
    <w:rsid w:val="0055117B"/>
    <w:rsid w:val="00556D03"/>
    <w:rsid w:val="00557F16"/>
    <w:rsid w:val="00572C36"/>
    <w:rsid w:val="00584FFD"/>
    <w:rsid w:val="00586F08"/>
    <w:rsid w:val="00594F66"/>
    <w:rsid w:val="00597E81"/>
    <w:rsid w:val="005C2DBA"/>
    <w:rsid w:val="005D1447"/>
    <w:rsid w:val="005D6732"/>
    <w:rsid w:val="005E0995"/>
    <w:rsid w:val="005F4481"/>
    <w:rsid w:val="006013D3"/>
    <w:rsid w:val="006024B3"/>
    <w:rsid w:val="0067368B"/>
    <w:rsid w:val="006902FF"/>
    <w:rsid w:val="006920CE"/>
    <w:rsid w:val="006976C0"/>
    <w:rsid w:val="006A42A1"/>
    <w:rsid w:val="006B17B0"/>
    <w:rsid w:val="006B1D11"/>
    <w:rsid w:val="006C051D"/>
    <w:rsid w:val="006D0E53"/>
    <w:rsid w:val="006F10C6"/>
    <w:rsid w:val="0070099E"/>
    <w:rsid w:val="007258EF"/>
    <w:rsid w:val="00746291"/>
    <w:rsid w:val="00766703"/>
    <w:rsid w:val="00771697"/>
    <w:rsid w:val="00775E79"/>
    <w:rsid w:val="00781DAB"/>
    <w:rsid w:val="007831DC"/>
    <w:rsid w:val="007868AB"/>
    <w:rsid w:val="00787BDE"/>
    <w:rsid w:val="00790E30"/>
    <w:rsid w:val="007A09E3"/>
    <w:rsid w:val="007B02E6"/>
    <w:rsid w:val="007C0FFE"/>
    <w:rsid w:val="007E0B48"/>
    <w:rsid w:val="007F427C"/>
    <w:rsid w:val="008442F7"/>
    <w:rsid w:val="00844EE7"/>
    <w:rsid w:val="008606C3"/>
    <w:rsid w:val="008D036A"/>
    <w:rsid w:val="008F4A7E"/>
    <w:rsid w:val="00902878"/>
    <w:rsid w:val="00915B45"/>
    <w:rsid w:val="00916F4D"/>
    <w:rsid w:val="0094364E"/>
    <w:rsid w:val="0095690B"/>
    <w:rsid w:val="00957690"/>
    <w:rsid w:val="009616BF"/>
    <w:rsid w:val="00965491"/>
    <w:rsid w:val="00986BE9"/>
    <w:rsid w:val="00990355"/>
    <w:rsid w:val="009B1755"/>
    <w:rsid w:val="009D6CDD"/>
    <w:rsid w:val="009E4837"/>
    <w:rsid w:val="009E74EC"/>
    <w:rsid w:val="009F7EFC"/>
    <w:rsid w:val="00A04236"/>
    <w:rsid w:val="00A26331"/>
    <w:rsid w:val="00A7228A"/>
    <w:rsid w:val="00AD223D"/>
    <w:rsid w:val="00AD3446"/>
    <w:rsid w:val="00AD682D"/>
    <w:rsid w:val="00AD7CAD"/>
    <w:rsid w:val="00AF4EDE"/>
    <w:rsid w:val="00AF57FD"/>
    <w:rsid w:val="00AF66CB"/>
    <w:rsid w:val="00B15BF1"/>
    <w:rsid w:val="00B308A3"/>
    <w:rsid w:val="00B340A2"/>
    <w:rsid w:val="00B44F99"/>
    <w:rsid w:val="00B55CF0"/>
    <w:rsid w:val="00B61CE3"/>
    <w:rsid w:val="00B80F28"/>
    <w:rsid w:val="00B81DAF"/>
    <w:rsid w:val="00B944D8"/>
    <w:rsid w:val="00B95545"/>
    <w:rsid w:val="00BA23B1"/>
    <w:rsid w:val="00BC09F3"/>
    <w:rsid w:val="00BC19FC"/>
    <w:rsid w:val="00C06F22"/>
    <w:rsid w:val="00C10046"/>
    <w:rsid w:val="00C145C2"/>
    <w:rsid w:val="00C31834"/>
    <w:rsid w:val="00C4194A"/>
    <w:rsid w:val="00C449AD"/>
    <w:rsid w:val="00C51028"/>
    <w:rsid w:val="00C56F1B"/>
    <w:rsid w:val="00C6143D"/>
    <w:rsid w:val="00C710F0"/>
    <w:rsid w:val="00C7161B"/>
    <w:rsid w:val="00C803CA"/>
    <w:rsid w:val="00CB162E"/>
    <w:rsid w:val="00CB596D"/>
    <w:rsid w:val="00CD5B66"/>
    <w:rsid w:val="00CE4EA2"/>
    <w:rsid w:val="00CF380C"/>
    <w:rsid w:val="00D15A9D"/>
    <w:rsid w:val="00D16F40"/>
    <w:rsid w:val="00D27554"/>
    <w:rsid w:val="00D4092B"/>
    <w:rsid w:val="00D521AE"/>
    <w:rsid w:val="00D65511"/>
    <w:rsid w:val="00D66585"/>
    <w:rsid w:val="00D86B62"/>
    <w:rsid w:val="00DA3F53"/>
    <w:rsid w:val="00DE2296"/>
    <w:rsid w:val="00E00791"/>
    <w:rsid w:val="00E02D16"/>
    <w:rsid w:val="00E21E42"/>
    <w:rsid w:val="00E31169"/>
    <w:rsid w:val="00E37F88"/>
    <w:rsid w:val="00E4277D"/>
    <w:rsid w:val="00E43455"/>
    <w:rsid w:val="00E53026"/>
    <w:rsid w:val="00E605C0"/>
    <w:rsid w:val="00E7072E"/>
    <w:rsid w:val="00E97AE6"/>
    <w:rsid w:val="00EA4B43"/>
    <w:rsid w:val="00EE27BE"/>
    <w:rsid w:val="00F046B7"/>
    <w:rsid w:val="00F07E45"/>
    <w:rsid w:val="00F203EB"/>
    <w:rsid w:val="00F20835"/>
    <w:rsid w:val="00F433FF"/>
    <w:rsid w:val="00F442B1"/>
    <w:rsid w:val="00F545D6"/>
    <w:rsid w:val="00F56BB7"/>
    <w:rsid w:val="00F947F0"/>
    <w:rsid w:val="00FD4B9B"/>
    <w:rsid w:val="00FD6E33"/>
    <w:rsid w:val="139EA183"/>
    <w:rsid w:val="153E73DC"/>
    <w:rsid w:val="18FF9763"/>
    <w:rsid w:val="1DEF1DD8"/>
    <w:rsid w:val="27FFB134"/>
    <w:rsid w:val="2B3FBBA9"/>
    <w:rsid w:val="2B7EF0E7"/>
    <w:rsid w:val="2BB759B4"/>
    <w:rsid w:val="2FF275A2"/>
    <w:rsid w:val="34FFC967"/>
    <w:rsid w:val="376718EE"/>
    <w:rsid w:val="39FE2126"/>
    <w:rsid w:val="3CDB4910"/>
    <w:rsid w:val="3DFBD7B9"/>
    <w:rsid w:val="3FBF5E5E"/>
    <w:rsid w:val="3FFE283B"/>
    <w:rsid w:val="4373E04A"/>
    <w:rsid w:val="4DB85653"/>
    <w:rsid w:val="56216C73"/>
    <w:rsid w:val="571EF032"/>
    <w:rsid w:val="5BC7C970"/>
    <w:rsid w:val="5BDF0832"/>
    <w:rsid w:val="5BFF99B6"/>
    <w:rsid w:val="5EF66C86"/>
    <w:rsid w:val="5F3A56B9"/>
    <w:rsid w:val="5FFF81AB"/>
    <w:rsid w:val="60EA87AB"/>
    <w:rsid w:val="6A6F5034"/>
    <w:rsid w:val="6F67AF41"/>
    <w:rsid w:val="6F8D1442"/>
    <w:rsid w:val="6FEF0717"/>
    <w:rsid w:val="6FF5CDF1"/>
    <w:rsid w:val="717A4725"/>
    <w:rsid w:val="75F73DF2"/>
    <w:rsid w:val="75FDED56"/>
    <w:rsid w:val="77F7D11F"/>
    <w:rsid w:val="7B7BECC2"/>
    <w:rsid w:val="7B9FD3DB"/>
    <w:rsid w:val="7BFDD07C"/>
    <w:rsid w:val="7DDF7466"/>
    <w:rsid w:val="7E9F05FF"/>
    <w:rsid w:val="7F2BE380"/>
    <w:rsid w:val="7F75A028"/>
    <w:rsid w:val="7F7F0E2B"/>
    <w:rsid w:val="7FBDCFDC"/>
    <w:rsid w:val="7FBE83C2"/>
    <w:rsid w:val="7FBF1089"/>
    <w:rsid w:val="7FF3AD49"/>
    <w:rsid w:val="7FF5528D"/>
    <w:rsid w:val="7FFF7011"/>
    <w:rsid w:val="7FFFBA08"/>
    <w:rsid w:val="7FFFCB02"/>
    <w:rsid w:val="9B5F7B65"/>
    <w:rsid w:val="9BDFF3A1"/>
    <w:rsid w:val="AB76D8CF"/>
    <w:rsid w:val="AD6F4DF4"/>
    <w:rsid w:val="B1EFCC05"/>
    <w:rsid w:val="BAFFC7B1"/>
    <w:rsid w:val="BBEF5C22"/>
    <w:rsid w:val="BEAE77A1"/>
    <w:rsid w:val="BEDE9870"/>
    <w:rsid w:val="BF93AC4B"/>
    <w:rsid w:val="BFE8615F"/>
    <w:rsid w:val="BFEB67D4"/>
    <w:rsid w:val="BFFAF943"/>
    <w:rsid w:val="C77EA7FC"/>
    <w:rsid w:val="C7BB6988"/>
    <w:rsid w:val="CEBFEA30"/>
    <w:rsid w:val="D7CCC2D4"/>
    <w:rsid w:val="D7CDB6F0"/>
    <w:rsid w:val="DAFE6B5C"/>
    <w:rsid w:val="DBCDEF22"/>
    <w:rsid w:val="DD76A4CE"/>
    <w:rsid w:val="DD7F363B"/>
    <w:rsid w:val="DECDB951"/>
    <w:rsid w:val="E15BFA19"/>
    <w:rsid w:val="E57FC989"/>
    <w:rsid w:val="E75ACF45"/>
    <w:rsid w:val="EDF73DC7"/>
    <w:rsid w:val="EFAEB2E4"/>
    <w:rsid w:val="EFE1C85B"/>
    <w:rsid w:val="EFF796F4"/>
    <w:rsid w:val="EFFDBFF6"/>
    <w:rsid w:val="F1BDAC18"/>
    <w:rsid w:val="F3AFCAC8"/>
    <w:rsid w:val="F3BDFAB7"/>
    <w:rsid w:val="F3EF2CB6"/>
    <w:rsid w:val="F3FB6C05"/>
    <w:rsid w:val="F7BF948B"/>
    <w:rsid w:val="FAEF087A"/>
    <w:rsid w:val="FB9E58B3"/>
    <w:rsid w:val="FD7EFA96"/>
    <w:rsid w:val="FD9D0F9C"/>
    <w:rsid w:val="FDFC3C34"/>
    <w:rsid w:val="FF5FEA53"/>
    <w:rsid w:val="FF643016"/>
    <w:rsid w:val="FFBC7F7F"/>
    <w:rsid w:val="FFEDD42F"/>
    <w:rsid w:val="FFEF9B7B"/>
    <w:rsid w:val="FFFDC0C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8"/>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Indent"/>
    <w:basedOn w:val="1"/>
    <w:uiPriority w:val="0"/>
    <w:pPr>
      <w:ind w:firstLine="634"/>
    </w:pPr>
    <w:rPr>
      <w:rFonts w:eastAsia="仿宋_GB2312"/>
    </w:rPr>
  </w:style>
  <w:style w:type="paragraph" w:styleId="3">
    <w:name w:val="Balloon Text"/>
    <w:basedOn w:val="1"/>
    <w:link w:val="9"/>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批注框文本 Char"/>
    <w:link w:val="3"/>
    <w:uiPriority w:val="0"/>
    <w:rPr>
      <w:kern w:val="2"/>
      <w:sz w:val="18"/>
      <w:szCs w:val="18"/>
    </w:rPr>
  </w:style>
  <w:style w:type="character" w:customStyle="1" w:styleId="10">
    <w:name w:val="页眉 Char"/>
    <w:link w:val="5"/>
    <w:uiPriority w:val="0"/>
    <w:rPr>
      <w:kern w:val="2"/>
      <w:sz w:val="18"/>
      <w:szCs w:val="18"/>
    </w:rPr>
  </w:style>
  <w:style w:type="paragraph" w:customStyle="1" w:styleId="11">
    <w:name w:val=" Char Char Char Char Char Char1"/>
    <w:basedOn w:val="1"/>
    <w:uiPriority w:val="0"/>
    <w:rPr>
      <w:rFonts w:ascii="Tahoma" w:hAnsi="Tahoma"/>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9690</Words>
  <Characters>10045</Characters>
  <Lines>21</Lines>
  <Paragraphs>5</Paragraphs>
  <TotalTime>53</TotalTime>
  <ScaleCrop>false</ScaleCrop>
  <LinksUpToDate>false</LinksUpToDate>
  <CharactersWithSpaces>10468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2021-02-11T01:47:00Z</dcterms:created>
  <dc:creator>朱娜</dc:creator>
  <cp:lastModifiedBy>科院融媒</cp:lastModifiedBy>
  <cp:lastPrinted>2025-01-20T09:35:24Z</cp:lastPrinted>
  <dcterms:modified xsi:type="dcterms:W3CDTF">2025-03-03T07:18:09Z</dcterms:modified>
  <dc:title>湖南省财政厅处室便函</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E4AB019896664FF689E044D98A39FD5D_13</vt:lpwstr>
  </property>
  <property fmtid="{D5CDD505-2E9C-101B-9397-08002B2CF9AE}" pid="4" name="KSOTemplateDocerSaveRecord">
    <vt:lpwstr>eyJoZGlkIjoiNDZlNzhmODIxMWIwMzBiNjAzZTEwZGI1M2IwODAwN2EiLCJ1c2VySWQiOiI2NjQwMDAyMjcifQ==</vt:lpwstr>
  </property>
</Properties>
</file>